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Zarządzenie nr 20/XV R/ 2013</w:t>
      </w: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Rektora Uniwersytetu Medycznego we Wrocławiu</w:t>
      </w: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z dnia 26 kwietnia 2013 r.</w:t>
      </w:r>
    </w:p>
    <w:p w:rsidR="006D40A0" w:rsidRPr="006D40A0" w:rsidRDefault="006D40A0" w:rsidP="006D40A0">
      <w:pPr>
        <w:pStyle w:val="Bezodstpw"/>
        <w:jc w:val="center"/>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w sprawie organizacji 6-cio miesięcznych studenckich praktyk zawodowych realizowanych w Aptece przez studentów kierunku Farmacja po obronie pracy magisterskiej</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Na podstawie ustawy z dnia 27 lipca 2005 roku Prawo o szkolnictwie wyższym (</w:t>
      </w:r>
      <w:proofErr w:type="spellStart"/>
      <w:r w:rsidRPr="006D40A0">
        <w:rPr>
          <w:rFonts w:ascii="Times New Roman" w:hAnsi="Times New Roman" w:cs="Times New Roman"/>
          <w:sz w:val="20"/>
          <w:szCs w:val="20"/>
        </w:rPr>
        <w:t>t.j</w:t>
      </w:r>
      <w:proofErr w:type="spellEnd"/>
      <w:r w:rsidRPr="006D40A0">
        <w:rPr>
          <w:rFonts w:ascii="Times New Roman" w:hAnsi="Times New Roman" w:cs="Times New Roman"/>
          <w:sz w:val="20"/>
          <w:szCs w:val="20"/>
        </w:rPr>
        <w:t>. Dz. U. 2012, poz. 572 ze zm.) oraz art. 2b ust. 1 pkt. 1 i art. 2c Ustawy z dnia 19 kwietnia 1991 roku o izbach aptekarskich (</w:t>
      </w:r>
      <w:proofErr w:type="spellStart"/>
      <w:r w:rsidRPr="006D40A0">
        <w:rPr>
          <w:rFonts w:ascii="Times New Roman" w:hAnsi="Times New Roman" w:cs="Times New Roman"/>
          <w:sz w:val="20"/>
          <w:szCs w:val="20"/>
        </w:rPr>
        <w:t>t.j</w:t>
      </w:r>
      <w:proofErr w:type="spellEnd"/>
      <w:r w:rsidRPr="006D40A0">
        <w:rPr>
          <w:rFonts w:ascii="Times New Roman" w:hAnsi="Times New Roman" w:cs="Times New Roman"/>
          <w:sz w:val="20"/>
          <w:szCs w:val="20"/>
        </w:rPr>
        <w:t xml:space="preserve">. </w:t>
      </w:r>
      <w:proofErr w:type="spellStart"/>
      <w:r w:rsidRPr="006D40A0">
        <w:rPr>
          <w:rFonts w:ascii="Times New Roman" w:hAnsi="Times New Roman" w:cs="Times New Roman"/>
          <w:sz w:val="20"/>
          <w:szCs w:val="20"/>
        </w:rPr>
        <w:t>Dz.U</w:t>
      </w:r>
      <w:proofErr w:type="spellEnd"/>
      <w:r w:rsidRPr="006D40A0">
        <w:rPr>
          <w:rFonts w:ascii="Times New Roman" w:hAnsi="Times New Roman" w:cs="Times New Roman"/>
          <w:sz w:val="20"/>
          <w:szCs w:val="20"/>
        </w:rPr>
        <w:t>. 2008.136.856 ze zm.), Rozporządzenia Ministra Zdrowia z dnia 16 lutego 2009 roku w sprawie praktyki zawodowej w aptece (Dz. U. 2009.31.215), zarządzam co następuje:</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Pr>
          <w:rFonts w:ascii="Times New Roman" w:hAnsi="Times New Roman" w:cs="Times New Roman"/>
          <w:sz w:val="20"/>
          <w:szCs w:val="20"/>
        </w:rPr>
        <w:t>Postanowienia ogólne</w:t>
      </w: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1</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1. Sześciomiesięczne studenckie praktyki zawodowe, zwane dalej „praktykami”, realizowane są w aptece przez studentów Wydziału Farmaceutycznego z Oddziałem Analityki Medycznej, kierunek Farmacja, po wykonaniu i obronie pracy magisterskiej. </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Celem praktyki jest doskonalenie umiejętności praktycznych w rzeczywistych warunkach pracy.</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2</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Wymiar praktyki realizowanej w aptece określają standardy kształcenia dla kierunku Farmacja jednolite studia magisterskie.</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Praktyka rozpoczyna się nie później niż z dniem 1 października i kończy się po sześciu miesiącach, pod warunkiem zrealizowania pełnego programu praktyki w łącznej liczbie 960 godzin dydaktycznych (z zastrzeżeniem ust. 3).</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W uzasadnionych przypadkach, student, który obronił pracę magisterską oraz dokonał wpisu na XI semestr studiów, może zwrócić się do Dziekana z pisemną prośbą o zezwolenie na rozpoczęcie praktyki w terminie innym, niż o którym mowa w ust. 2, ale zawsze od 1 dnia każdego nowego miesiąca (załącznik nr 8).</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4. Przed rozpoczęciem praktyki student zobowiązany jest zgłosić się do dziekanatu w celu:</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1) dokonania wpisu na XI semestr studiów,</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zapisania się na praktykę do jednej z Aptek znajdującej się w wykazie, o którym mowa w § 3 ust. 1,</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pobrania niżej wymienionych dokumentów:</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dziennika praktyki zawodowej w Aptece (załącznik nr 1),</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ramowego programu praktyki zawodowej w Aptece (załącznik nr 2),</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skierowania na praktykę (załącznik nr 3).</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Pr>
          <w:rFonts w:ascii="Times New Roman" w:hAnsi="Times New Roman" w:cs="Times New Roman"/>
          <w:sz w:val="20"/>
          <w:szCs w:val="20"/>
        </w:rPr>
        <w:t xml:space="preserve"> </w:t>
      </w: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Miejsce realizowania praktyki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3</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Miejscem realizacji praktyki jest Apteka ogólnodostępna lub szpitalna w rozumieniu przepisów Prawa Farmaceutycznego (zwana dalej „Apteką”), która uzyskała zgodę właściwego Wojewódzkiego Inspektora Farmaceutycznego oraz właściwej Okręgowej Izby Aptekarskiej.</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Okres odbywania praktyki w Aptece szpitalnej nie może być dłuższy niż 3 miesiące, pozostałą część praktyki student zobowiązany jest zrealizować w Aptece ogólnodostępnej.</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3. Apteki zainteresowane prowadzeniem praktyk składają do Dziekanatu w terminie do 31 stycznia oświadczenie (załącznik nr 4). Na podstawie otrzymanych od Aptek oświadczeń Dziekanat przygotowuje wykaz Aptek zlokalizowanych na terenie </w:t>
      </w:r>
      <w:r w:rsidRPr="006D40A0">
        <w:rPr>
          <w:rFonts w:ascii="Times New Roman" w:hAnsi="Times New Roman" w:cs="Times New Roman"/>
          <w:sz w:val="20"/>
          <w:szCs w:val="20"/>
        </w:rPr>
        <w:lastRenderedPageBreak/>
        <w:t>województwa dolnośląskiego, który przekazuje do Wojewódzkiego Inspektora Farmaceutycznego oraz Okręgowej Izby Aptekarskiej celem weryfikacji i zatwierdzenia.</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4. Wykaz Aptek, w których mogą być realizowane praktyki, Dziekanat wywiesza na tablicy ogłoszeń w dziekanacie oraz zamieszcza na stronie internetowej Wydziału nie później niż do 31 maja.</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5. Jeżeli Apteka ogólnodostępna, w której student odbywa praktykę nie posiada receptury do sporządzania leków w warunkach aseptycznych (leku jałowego), student zobowiązany jest zrealizować 8 godzin dydaktycznych z tego zakresu w Aptece wskazanej przez Opiekuna praktyk, która spełnia te wymagania.</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4</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1. W uzasadnionych przypadkach student może ubiegać się o odbywanie praktyki w Aptece na terenie innego województwa. W tym celu zobowiązany jest złożyć do Dziekana </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w terminie do 30 czerwca wniosek (załącznik nr 5).</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Wniosek, o którym mowa w ust. 1, musi zawierać pisemną zgodę kierownika wybranej Apteki na przyjęcie studenta na praktykę, opinię Wojewódzkiego Inspektora Farmaceutycznego oraz Okręgowej Rady Aptekarskiej, na terenie której Apteka się znajduje.</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5</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Z Aptekami, w których studenci odbywają praktyki, Uczelnia zawiera „Porozumienie” (załącznik nr 6).</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Porozumienie, o którym mowa w ust. 1, podpisuje Dziekan na podstawie upoważnienia Rektora.</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Porozumienie zawiera również informację o warunkach finansowych, które z tytułu realizacji praktyki w aptece ponosi Uczelnia.</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6</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Dziekan Wydziału co roku występuje do Rektora z wnioskiem o przyznanie środków na realizację 6 miesięcznych praktyk w aptekach.</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Decyzję o wysokości środków podejmuje Rektor po konsultacji z Kwestorem Uczelni.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Po zakończeniu praktyki, Apteka na podstawie zawartego porozumienia, w terminie 14 dni wystawi Fakturę VAT, którą przesyła na adres Dziekanatu (załącznik nr 9).</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4. Dziekanat sprawdza Fakturę pod względem merytorycznym i przekazuje wraz z kopią porozumienia do Kwestury.</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Pr>
          <w:rFonts w:ascii="Times New Roman" w:hAnsi="Times New Roman" w:cs="Times New Roman"/>
          <w:sz w:val="20"/>
          <w:szCs w:val="20"/>
        </w:rPr>
        <w:t xml:space="preserve"> </w:t>
      </w: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Czas trwania praktyki zawodowej</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7</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Praktyka trwa 6 miesięcy, łączny wymiar praktyki do zrealizowania wynosi 960 godzin dydaktycznych, przy czym godzina dydaktyczna trwa 45 minut.</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Student odbywający praktykę, zwany dalej „praktykantem”, odbywa praktykę w wymiarze 8 godzin dydaktycznych na dobę, z wyłączeniem: sobót, niedziel i świąt oraz przerwy świątecznej w terminie od 24 grudnia do 2 stycznia.</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Praktykant nie może być angażowany do pracy w trakcie dyżurów nocnych pełnionych przez Aptekę.</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4. Przedłużenie dobowego czasu wymiaru praktyki jest dopuszczalne tylko za zgodą praktykanta, nie więcej jednak niż do 12 godzin dydaktycznych. Przedłużony dobowy wymiar czasu jest równoważony krótszym dobowym wymiarem czasu odbywania praktyki w innych dniach lub dniami wolnymi od praktyki w przyjętym dwumiesięcznym okresie rozliczeniowym.</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5. Miesięczny rozkład czasu pracy w Aptece ustala opiekun z ramienia Apteki w porozumieniu z praktykantem.</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6. Opiekun prowadzi ewidencję czasu odbywania praktyki celem prawidłowego ustalenia jej wymiaru i zaliczenia.</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7. Czas trwania praktyki ulega przedłużeniu w przypadku:</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lastRenderedPageBreak/>
        <w:t>1) niezdolność w ciągu 6 miesięcy do odbywania praktyki z powodu choroby lub innych zdarzeń losowych przez okres dłuższy niż 14 dni,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otrzymania urlopu od zajęć na zasadach określonych w Regulaminie Studiów,</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w przypadkach, o których mowa w ust. 1 i 2, Dziekan podejmuje decyzję o przedłużeniu praktyki w wymiarze pozwalającym na pełną realizację programu i pisemnie powiadamia Kierownika Apteki o konieczności przedłużenia czasu trwania praktyki, określając okres i przyczynę jej przedłużenia.</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Pr>
          <w:rFonts w:ascii="Times New Roman" w:hAnsi="Times New Roman" w:cs="Times New Roman"/>
          <w:sz w:val="20"/>
          <w:szCs w:val="20"/>
        </w:rPr>
        <w:t xml:space="preserve"> </w:t>
      </w: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8</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Usprawiedliwioną nieobecnością na praktyce niewymagającą przedłużenia czasu trwania praktyki i niewliczającą się w godziny dydaktyczne jest:</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niezdolność w ciągu 6 miesięcy do odbywania praktyki z powodu choroby lub innych zdarzeń losowych przez okres do 14 dni;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nieobecność na praktyce w wyznaczone przez organy uczelni dni rektorskie albo dziekańskie.</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Usprawiedliwioną nieobecnością na praktyce niewymagającą przedłużenia czasu trwania praktyki i wliczającą się w godziny dydaktyczne jest:</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nieobecność na praktyce w ciągu 6 miesięcy przez okres 30 godzin dydaktycznych w związku z udokumentowanym, w dzienniku praktyki zawodowej w Aptece, udziałem w szkoleniach w dziedzinie nauk farmaceutycznych lub medycznych organizowanych przez uczelnie, towarzystwa naukowe lub samorządy zawodowe,</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udział w dwóch ośmiogodzinnych seminariach organizowanych przez Wydział, podsumowujących stan realizacji praktyki zawodowej.</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W wyżej wymienionych przypadkach praktykant zobowiązany jest powiadomić o nieobecności opiekuna praktyki z ramienia Apteki.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9</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W przypadku nie zrealizowania pełnego programu praktyki w liczbie 960 godzin dydaktycznych, praktykant zobowiązany jest do uzupełnienia programu do wymaganej liczby godzin.</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Przedłużenie terminu zakończenia praktyki w Aptece następuje w drodze aneksu do Porozumienia – wzór aneksu, załącznik nr 7.</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Nadzór nad praktykami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10</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W celu nadzoru ze strony Uczelni nad realizacją sześciomiesięcznej praktyki, Dziekan powołuje zespół nadzorujący 6 miesięczne praktyki (zwany dalej „zespołem nadzorującym”).</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W skład zespołu wchodzi powołany przez Dziekana kierownik 6 miesięcznych praktyk, dla którego Dziekan ustala zakres obowiązków oraz powołani przez kierownika opiekunowie 6 miesięcznych praktyk, dla których kierownik ustala zakres obowiązków.</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Opiekunem może być nauczyciel akademicki posiadający co najmniej trzyletni staż pracy w Aptece.</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4. Kierownika oraz opiekunów powołuje się na okres kadencji władz uczelni.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5. Liczba powołanych opiekunów zależy od liczby praktykantów realizujących praktykę zawodową. Na każdą rozpoczętą 30 osobową grupę praktykantów przypada jeden opiekun, przy czym grupy powinny mieć zbliżoną liczebność.</w:t>
      </w:r>
    </w:p>
    <w:p w:rsidR="006D40A0" w:rsidRPr="006D40A0" w:rsidRDefault="006D40A0" w:rsidP="006D40A0">
      <w:pPr>
        <w:pStyle w:val="Bezodstpw"/>
        <w:jc w:val="both"/>
        <w:rPr>
          <w:rFonts w:ascii="Times New Roman" w:hAnsi="Times New Roman" w:cs="Times New Roman"/>
          <w:sz w:val="20"/>
          <w:szCs w:val="20"/>
        </w:rPr>
      </w:pPr>
    </w:p>
    <w:p w:rsid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w:t>
      </w:r>
    </w:p>
    <w:p w:rsid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lastRenderedPageBreak/>
        <w:t>§ 11</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W celu nadzoru ze strony apteki nad realizacją 6 miesięcznej praktyki, Kierownik apteki wyznacza opiekuna, pod nadzorem którego student będzie realizował program praktyki.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Opiekun musi spełniać warunki, określone w art. 88 ust. 1 Ustawy z dnia 6 września 2001 r. Prawo Farmaceutyczne (Dz. U. 2004.53.533 ze zm.).</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Opiekun, o którym mowa w ust.1, może sprawować równocześnie nadzór nad nie więcej niż dwoma praktykantami.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Obowiązki praktykanta</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12</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Praktykant prowadzi dziennik praktyki zawodowej, w którym odnotowuje wykonywane w Aptece czynności praktyczne oraz nabywane umiejętności. Wykonanie czynności i nabycie umiejętności potwierdza opiekun z ramienia apteki.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Praktykant udostępnia dziennik praktyk opiekunowi praktyki z ramienia Uczelni, w celu oceny stanu realizacji programu praktyki.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W przypadku odbywania praktyki w kilku Aptekach lub odbywania praktyki z przerwami wpisy w dzienniku praktyki zawodowej w aptece obejmują informacje dotyczące przebiegu kolejnych etapów praktyki w każdej z aptek, z uwzględnieniem dat rozpoczęcia i zakończenia okresu ich trwania. Odbycie praktyki potwierdza opiekun oraz kierownik Apteki, w której odbywana była praktyka zawodowa.</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Pr>
          <w:rFonts w:ascii="Times New Roman" w:hAnsi="Times New Roman" w:cs="Times New Roman"/>
          <w:sz w:val="20"/>
          <w:szCs w:val="20"/>
        </w:rPr>
        <w:t xml:space="preserve"> </w:t>
      </w: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13</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Praktykant jest zobowiązany do uczestniczenia w dwóch ośmiogodzinnych seminariach organizowanych przez Wydział, podsumowujący stan realizacji praktyki zawodowej: po 3 miesiącu i po 5 miesiącu odbywania praktyki. Terminy seminariów określa opiekun praktyki ze strony Uczelni.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W czasie trwania seminariów opiekun praktyk z ramienia uczelni szczegółowo analizuje stan realizacji programu praktyki, a praktykant zgłasza uwagi i postulaty dotyczące jej realizacji.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Udział praktykanta w seminariach, o których mowa w ust. 1 nie wydłuża czasu trwania praktyki.</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Prawa praktykanta</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14</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Praktykant ma prawo do zapoznania się ze swoim miesięcznym rozkładem czasu pracy z co najmniej 7 dniowym wyprzedzeniem przed rozpoczęciem kolejnego miesiąca praktyki.</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2. Praktykantowi podczas realizacji praktyki przysługuje prawo do udziału:</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w dodatkowych formach szkolenia zawodowego, poprzez uczestnictwo w posiedzeniach naukowych i innych formach szkolenia w dziedzinie nauk farmaceutycznych lub medycznych organizowanych przez uczelnie, towarzystwa naukowe lub samorząd zawodowy, w wymiarze nie większym niż 30 godzin dydaktycznych,</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w seminariach organizowanych przez Wydział.</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15</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Praktykant odbywający praktykę zachowuje prawa studenta zgodnie z regulaminem studiów, a pomoc materialna jest przyznawana zgodnie z regulaminem przyznawania i wypłacania świadczeń pomocy materialnej dla studentów.</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O wszelkich nieprawidłowościach zaistniałych w Aptece podczas realizacji programu praktyki, praktykant powiadamia opiekuna praktyki z ramienia Uczelni, do obowiązku którego należy przeprowadzenie postępowania wyjaśniającego.</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Zmiana Apteki, w której odbywa się praktyka, następuje wówczas, gdy wskazana przez Dziekana apteka przestaje spełniać wymogi niezbędne do realizacji „Ramowego programu praktyki zawodowej w aptece”.</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Warunki zaliczenia praktyki zawodowej w Aptece</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16</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1. Warunkiem zaliczenia praktyki jest zrealizowanie przez praktykanta całego programu praktyki w pełnym wymiarze 960 godzin dydaktycznych w okresie sześciu miesięcy.</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2. Po zakończeniu praktyki, nie później niż w terminie 14 dni od jej zakończenia, praktykant składa u opiekuna praktyki z ramienia Uczelni dziennik praktyki.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3. Zaliczenia praktyki w indeksie dokonuje kierownik 6 miesięcznej praktyki na podstawie wpisów w dzienniku praktyki oraz opinii opiekuna ze strony apteki i z ramienia Uczelni.</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Pr>
          <w:rFonts w:ascii="Times New Roman" w:hAnsi="Times New Roman" w:cs="Times New Roman"/>
          <w:sz w:val="20"/>
          <w:szCs w:val="20"/>
        </w:rPr>
        <w:t xml:space="preserve"> </w:t>
      </w: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17</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Zakończenie programu kształcenia na Wydziale Farmaceutycznym potwierdza Dziekan poprzez zaliczenie w indeksie XI-go semestru studiów.</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Pr>
          <w:rFonts w:ascii="Times New Roman" w:hAnsi="Times New Roman" w:cs="Times New Roman"/>
          <w:sz w:val="20"/>
          <w:szCs w:val="20"/>
        </w:rPr>
        <w:t xml:space="preserve"> </w:t>
      </w: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18</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W przypadku niezaliczenia praktyki z przyczyn leżących po stronie studenta, będzie on obciążany kosztami powtórzenia praktyki, na podstawie art. 99 ust. 1 pkt. 2 ustawy Prawo </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o szkolnictwie wyższym.</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Postanowienia końcowe</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19</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Traci moc zarządzenie nr 89/XIV R/2009 Rektora Akademii Medycznej we Wrocławiu z dnia 21 grudnia 2009 r.</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w:t>
      </w:r>
    </w:p>
    <w:p w:rsidR="006D40A0" w:rsidRPr="006D40A0" w:rsidRDefault="006D40A0" w:rsidP="006D40A0">
      <w:pPr>
        <w:pStyle w:val="Bezodstpw"/>
        <w:jc w:val="both"/>
        <w:rPr>
          <w:rFonts w:ascii="Times New Roman" w:hAnsi="Times New Roman" w:cs="Times New Roman"/>
          <w:sz w:val="20"/>
          <w:szCs w:val="20"/>
        </w:rPr>
      </w:pPr>
      <w:bookmarkStart w:id="0" w:name="_GoBack"/>
      <w:bookmarkEnd w:id="0"/>
    </w:p>
    <w:p w:rsidR="006D40A0" w:rsidRPr="006D40A0" w:rsidRDefault="006D40A0" w:rsidP="006D40A0">
      <w:pPr>
        <w:pStyle w:val="Bezodstpw"/>
        <w:jc w:val="center"/>
        <w:rPr>
          <w:rFonts w:ascii="Times New Roman" w:hAnsi="Times New Roman" w:cs="Times New Roman"/>
          <w:sz w:val="20"/>
          <w:szCs w:val="20"/>
        </w:rPr>
      </w:pPr>
      <w:r w:rsidRPr="006D40A0">
        <w:rPr>
          <w:rFonts w:ascii="Times New Roman" w:hAnsi="Times New Roman" w:cs="Times New Roman"/>
          <w:sz w:val="20"/>
          <w:szCs w:val="20"/>
        </w:rPr>
        <w:t>§ 20</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Zarządzenie wchodzi w życie z dniem podpisania.</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proofErr w:type="spellStart"/>
      <w:r w:rsidRPr="006D40A0">
        <w:rPr>
          <w:rFonts w:ascii="Times New Roman" w:hAnsi="Times New Roman" w:cs="Times New Roman"/>
          <w:sz w:val="20"/>
          <w:szCs w:val="20"/>
        </w:rPr>
        <w:t>załacznik</w:t>
      </w:r>
      <w:proofErr w:type="spellEnd"/>
      <w:r w:rsidRPr="006D40A0">
        <w:rPr>
          <w:rFonts w:ascii="Times New Roman" w:hAnsi="Times New Roman" w:cs="Times New Roman"/>
          <w:sz w:val="20"/>
          <w:szCs w:val="20"/>
        </w:rPr>
        <w:t xml:space="preserve"> 1 - dziennik praktyki</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załącznik 2 - program praktyki</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załącznik 3 - skierowanie na praktykę</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załącznik 4 - oświadczenie</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załącznik 5 - wniosek</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załącznik 6 - porozumienie</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załącznik 7 - aneks do porozumienia</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załącznik 8 - wcześniejsze rozpoczęcie praktyki</w:t>
      </w: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załącznik 9 - zasady wystawiania faktur</w:t>
      </w: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p>
    <w:p w:rsidR="006D40A0" w:rsidRPr="006D40A0" w:rsidRDefault="006D40A0" w:rsidP="006D40A0">
      <w:pPr>
        <w:pStyle w:val="Bezodstpw"/>
        <w:jc w:val="both"/>
        <w:rPr>
          <w:rFonts w:ascii="Times New Roman" w:hAnsi="Times New Roman" w:cs="Times New Roman"/>
          <w:sz w:val="20"/>
          <w:szCs w:val="20"/>
        </w:rPr>
      </w:pPr>
      <w:r w:rsidRPr="006D40A0">
        <w:rPr>
          <w:rFonts w:ascii="Times New Roman" w:hAnsi="Times New Roman" w:cs="Times New Roman"/>
          <w:sz w:val="20"/>
          <w:szCs w:val="20"/>
        </w:rPr>
        <w:t xml:space="preserve">  </w:t>
      </w:r>
    </w:p>
    <w:p w:rsidR="004F7F29" w:rsidRPr="006D40A0" w:rsidRDefault="004F7F29" w:rsidP="006D40A0">
      <w:pPr>
        <w:pStyle w:val="Bezodstpw"/>
        <w:jc w:val="both"/>
        <w:rPr>
          <w:rFonts w:ascii="Times New Roman" w:hAnsi="Times New Roman" w:cs="Times New Roman"/>
          <w:sz w:val="20"/>
          <w:szCs w:val="20"/>
        </w:rPr>
      </w:pPr>
    </w:p>
    <w:sectPr w:rsidR="004F7F29" w:rsidRPr="006D40A0" w:rsidSect="006D40A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BA"/>
    <w:rsid w:val="004F7F29"/>
    <w:rsid w:val="006D40A0"/>
    <w:rsid w:val="00A91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40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4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1877</Words>
  <Characters>11266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3</cp:revision>
  <dcterms:created xsi:type="dcterms:W3CDTF">2013-05-27T07:17:00Z</dcterms:created>
  <dcterms:modified xsi:type="dcterms:W3CDTF">2013-05-27T07:22:00Z</dcterms:modified>
</cp:coreProperties>
</file>