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A8" w:rsidRPr="00E008E7" w:rsidRDefault="00F21BA8" w:rsidP="003D24C2">
      <w:pPr>
        <w:spacing w:line="360" w:lineRule="auto"/>
        <w:jc w:val="both"/>
        <w:rPr>
          <w:b/>
          <w:sz w:val="28"/>
          <w:szCs w:val="28"/>
        </w:rPr>
      </w:pPr>
      <w:r w:rsidRPr="00E008E7">
        <w:rPr>
          <w:b/>
          <w:sz w:val="28"/>
          <w:szCs w:val="28"/>
        </w:rPr>
        <w:t>Ćwiczenie</w:t>
      </w:r>
      <w:r w:rsidR="001740B8" w:rsidRPr="00E008E7">
        <w:rPr>
          <w:b/>
          <w:sz w:val="28"/>
          <w:szCs w:val="28"/>
        </w:rPr>
        <w:t xml:space="preserve"> nr 4. </w:t>
      </w:r>
      <w:r w:rsidRPr="00E008E7">
        <w:rPr>
          <w:b/>
          <w:sz w:val="28"/>
          <w:szCs w:val="28"/>
        </w:rPr>
        <w:t>Naturalne substancje antyodżywcze w produktach spożywczych</w:t>
      </w:r>
    </w:p>
    <w:p w:rsidR="001740B8" w:rsidRPr="001740B8" w:rsidRDefault="001740B8" w:rsidP="001845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40B8">
        <w:rPr>
          <w:rFonts w:ascii="Times New Roman" w:hAnsi="Times New Roman"/>
          <w:b/>
          <w:sz w:val="24"/>
          <w:szCs w:val="24"/>
        </w:rPr>
        <w:t>Wiadomości wprowadzające</w:t>
      </w:r>
    </w:p>
    <w:p w:rsidR="00CF642E" w:rsidRDefault="00CF642E" w:rsidP="00184512">
      <w:pPr>
        <w:spacing w:line="360" w:lineRule="auto"/>
        <w:jc w:val="both"/>
        <w:rPr>
          <w:b/>
        </w:rPr>
      </w:pPr>
      <w:r w:rsidRPr="00CF642E">
        <w:t xml:space="preserve">Do substancji antyodżywczych obecnych w żywności </w:t>
      </w:r>
      <w:r>
        <w:t xml:space="preserve">należą </w:t>
      </w:r>
      <w:r w:rsidRPr="00420F99">
        <w:rPr>
          <w:b/>
        </w:rPr>
        <w:t>szczawiany i tiocyjaniany.</w:t>
      </w:r>
    </w:p>
    <w:p w:rsidR="00080F57" w:rsidRPr="00420F99" w:rsidRDefault="00080F57" w:rsidP="00184512">
      <w:pPr>
        <w:spacing w:line="360" w:lineRule="auto"/>
        <w:jc w:val="both"/>
        <w:rPr>
          <w:b/>
        </w:rPr>
      </w:pPr>
      <w:r>
        <w:rPr>
          <w:b/>
        </w:rPr>
        <w:t>Szczawiany</w:t>
      </w:r>
    </w:p>
    <w:p w:rsidR="00420F99" w:rsidRDefault="00F21646" w:rsidP="00420F99">
      <w:pPr>
        <w:spacing w:line="360" w:lineRule="auto"/>
        <w:ind w:firstLine="420"/>
        <w:jc w:val="both"/>
      </w:pPr>
      <w:r w:rsidRPr="00420F99">
        <w:rPr>
          <w:b/>
        </w:rPr>
        <w:t>Szczawiany</w:t>
      </w:r>
      <w:r w:rsidRPr="00F21646">
        <w:t xml:space="preserve"> występują</w:t>
      </w:r>
      <w:r w:rsidR="00A90099" w:rsidRPr="00F21646">
        <w:t xml:space="preserve"> </w:t>
      </w:r>
      <w:r w:rsidR="00420F99">
        <w:t xml:space="preserve">w żywności </w:t>
      </w:r>
      <w:r w:rsidR="00420F99" w:rsidRPr="00CF642E">
        <w:t>pochodzenia roślinnego</w:t>
      </w:r>
      <w:r w:rsidR="00420F99">
        <w:t xml:space="preserve"> i zwierzęcego</w:t>
      </w:r>
      <w:r w:rsidR="00420F99" w:rsidRPr="00CF642E">
        <w:t xml:space="preserve"> </w:t>
      </w:r>
      <w:r w:rsidR="00A90099" w:rsidRPr="00F21646">
        <w:t>w formie rozpuszczalnych</w:t>
      </w:r>
      <w:r w:rsidR="00CE43F7" w:rsidRPr="00CE43F7">
        <w:t xml:space="preserve"> </w:t>
      </w:r>
      <w:r w:rsidR="00CE43F7" w:rsidRPr="00F21646">
        <w:t>soli</w:t>
      </w:r>
      <w:r w:rsidR="00A90099" w:rsidRPr="00F21646">
        <w:t xml:space="preserve"> sodu i potasu oraz nierozpuszczalnych –</w:t>
      </w:r>
      <w:r w:rsidR="00CE43F7">
        <w:t xml:space="preserve"> szczawianu</w:t>
      </w:r>
      <w:r w:rsidR="00A90099" w:rsidRPr="00F21646">
        <w:t xml:space="preserve"> wapnia. </w:t>
      </w:r>
      <w:r w:rsidR="00BF6D1B">
        <w:t>W roślinach n</w:t>
      </w:r>
      <w:r w:rsidR="000167C0">
        <w:t xml:space="preserve">ajwięcej szczawianów występuje w </w:t>
      </w:r>
      <w:r w:rsidR="00CE43F7">
        <w:t xml:space="preserve">ogonkach i </w:t>
      </w:r>
      <w:r w:rsidR="000167C0">
        <w:t>dolnych liściach</w:t>
      </w:r>
      <w:r w:rsidR="00CE43F7">
        <w:t xml:space="preserve">, </w:t>
      </w:r>
      <w:r w:rsidR="000167C0">
        <w:t>a najmniej w korzeniach.</w:t>
      </w:r>
      <w:r w:rsidR="00CE43F7">
        <w:t xml:space="preserve"> </w:t>
      </w:r>
    </w:p>
    <w:p w:rsidR="00184512" w:rsidRDefault="00B44C9B" w:rsidP="00B44C9B">
      <w:pPr>
        <w:spacing w:line="360" w:lineRule="auto"/>
        <w:ind w:firstLine="420"/>
        <w:jc w:val="both"/>
      </w:pPr>
      <w:r>
        <w:t xml:space="preserve">Kwas szczawiowy wchłania się łatwo z przewodu pokarmowego. </w:t>
      </w:r>
      <w:r w:rsidR="0033169F">
        <w:t>Szczawian wapnia wchłania się po częściowym rozkładzie w żołądku</w:t>
      </w:r>
      <w:r w:rsidR="00BF6D1B">
        <w:t xml:space="preserve">. Im wyższa kwasowość soku żołądkowego, tym więcej szczawianu wapnia ulega rozkładowi. </w:t>
      </w:r>
    </w:p>
    <w:p w:rsidR="00B44C9B" w:rsidRDefault="00251E2F" w:rsidP="00B44C9B">
      <w:pPr>
        <w:spacing w:line="360" w:lineRule="auto"/>
        <w:ind w:firstLine="420"/>
        <w:jc w:val="both"/>
      </w:pPr>
      <w:r>
        <w:t>Kwas szczawiowy w organizmie człowieka pochodzi z pożywienia lub jest końcowym produktem metabolizmu m.in. kwasu askorbinowego. Najbardziej znanymi źródłami szczawianów są: szpinak, rabarbar i szczaw</w:t>
      </w:r>
      <w:r w:rsidR="00B44C9B">
        <w:t>. D</w:t>
      </w:r>
      <w:r>
        <w:t xml:space="preserve">uże ilości tych związków dostarczane </w:t>
      </w:r>
      <w:r w:rsidR="00B44C9B">
        <w:t>są</w:t>
      </w:r>
      <w:r>
        <w:t xml:space="preserve"> również z kawą i herbatą. </w:t>
      </w:r>
    </w:p>
    <w:p w:rsidR="00B44C9B" w:rsidRDefault="00CE43F7" w:rsidP="00B44C9B">
      <w:pPr>
        <w:spacing w:line="360" w:lineRule="auto"/>
        <w:ind w:firstLine="420"/>
        <w:jc w:val="both"/>
      </w:pPr>
      <w:r>
        <w:t xml:space="preserve">Sporadyczne spożycie produktów zawierających szczawiany nie wpływa negatywnie na stan zdrowia człowieka, natomiast </w:t>
      </w:r>
      <w:r w:rsidR="004C4E00">
        <w:t xml:space="preserve">nadmierna </w:t>
      </w:r>
      <w:r>
        <w:t>ich podaż</w:t>
      </w:r>
      <w:r w:rsidR="007C36EC">
        <w:t xml:space="preserve"> z dietą</w:t>
      </w:r>
      <w:r>
        <w:t xml:space="preserve"> przy niedostatecznej </w:t>
      </w:r>
      <w:r w:rsidR="007C36EC">
        <w:t xml:space="preserve">ilości wapnia i witaminy D </w:t>
      </w:r>
      <w:r>
        <w:t>może wywierać ujemny wpływ na wchłanianie i retencję wapnia, a konsekwencj</w:t>
      </w:r>
      <w:r w:rsidR="007C36EC">
        <w:t>i na bilans wapnia w organizmie</w:t>
      </w:r>
      <w:r w:rsidR="00CA27EC">
        <w:t xml:space="preserve">. </w:t>
      </w:r>
      <w:r w:rsidR="00251E2F">
        <w:t xml:space="preserve">Może również </w:t>
      </w:r>
      <w:r w:rsidR="00420F99">
        <w:t>prowadzić</w:t>
      </w:r>
      <w:r w:rsidR="004C4E00">
        <w:t xml:space="preserve"> do kamicy nerkowej</w:t>
      </w:r>
      <w:r w:rsidR="00420F99">
        <w:t>.</w:t>
      </w:r>
      <w:r w:rsidR="007C36EC">
        <w:t xml:space="preserve"> </w:t>
      </w:r>
      <w:r w:rsidR="00251E2F">
        <w:t xml:space="preserve">Aby ograniczyć ryzyko powstania kamieni nerkowych zaleca się </w:t>
      </w:r>
      <w:r w:rsidR="00B44C9B">
        <w:t xml:space="preserve">nieprzekraczanie podaży 40-50 mg szczawianów/dobę. W wyniku procesu gotowania warzyw w wodzie ilość szczawianów obniża się w nich o ok. 50%. </w:t>
      </w:r>
    </w:p>
    <w:p w:rsidR="004C4E00" w:rsidRPr="00420F99" w:rsidRDefault="004C4E00" w:rsidP="00B44C9B">
      <w:pPr>
        <w:spacing w:line="360" w:lineRule="auto"/>
        <w:ind w:firstLine="420"/>
        <w:jc w:val="both"/>
      </w:pPr>
      <w:r w:rsidRPr="00420F99">
        <w:t xml:space="preserve">Antyodżywcze działanie kwasu szczawiowego jest uwarunkowane nie tylko zawartością jonów szczawianowych w pożywieniu, ale również stosunkiem </w:t>
      </w:r>
      <w:r w:rsidR="0025026E" w:rsidRPr="00420F99">
        <w:t xml:space="preserve">molowym </w:t>
      </w:r>
      <w:r w:rsidRPr="00420F99">
        <w:t>kwasu szczawiowego do pierwiastków, z którymi tworzy on nierozpuszczalne sole. Biorąc pod uwagę stosunek molowy kwasu szczawiowego do wapnia produkty spożywcze można podzielić na trzy grupy:</w:t>
      </w:r>
    </w:p>
    <w:p w:rsidR="00251E2F" w:rsidRDefault="00420F99" w:rsidP="00420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>p</w:t>
      </w:r>
      <w:r w:rsidR="004C4E00" w:rsidRPr="00420F99">
        <w:rPr>
          <w:rFonts w:ascii="Times New Roman" w:hAnsi="Times New Roman"/>
          <w:sz w:val="24"/>
          <w:szCs w:val="24"/>
        </w:rPr>
        <w:t>rodukty, w których zawartość kwasu szczawiowego wielokrotnie przekracza zawartość wapnia – stosunek molowy (COOH)</w:t>
      </w:r>
      <w:r w:rsidR="004C4E00" w:rsidRPr="00420F99">
        <w:rPr>
          <w:rFonts w:ascii="Times New Roman" w:hAnsi="Times New Roman"/>
          <w:sz w:val="24"/>
          <w:szCs w:val="24"/>
          <w:vertAlign w:val="subscript"/>
        </w:rPr>
        <w:t>2</w:t>
      </w:r>
      <w:r w:rsidR="004C4E00" w:rsidRPr="00420F99">
        <w:rPr>
          <w:rFonts w:ascii="Times New Roman" w:hAnsi="Times New Roman"/>
          <w:sz w:val="24"/>
          <w:szCs w:val="24"/>
        </w:rPr>
        <w:t xml:space="preserve"> /Ca </w:t>
      </w:r>
      <w:r w:rsidR="004C4E00" w:rsidRPr="00420F99">
        <w:rPr>
          <w:rFonts w:ascii="Times New Roman" w:hAnsi="Times New Roman"/>
          <w:sz w:val="24"/>
          <w:szCs w:val="24"/>
        </w:rPr>
        <w:sym w:font="Symbol" w:char="F03E"/>
      </w:r>
      <w:r w:rsidR="00251E2F">
        <w:rPr>
          <w:rFonts w:ascii="Times New Roman" w:hAnsi="Times New Roman"/>
          <w:sz w:val="24"/>
          <w:szCs w:val="24"/>
        </w:rPr>
        <w:t xml:space="preserve"> 2</w:t>
      </w:r>
    </w:p>
    <w:p w:rsidR="004C4E00" w:rsidRPr="00420F99" w:rsidRDefault="004C4E00" w:rsidP="00251E2F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 xml:space="preserve"> szpinak, szczaw, rabarbar, botwina, buraki, herbata, kawa, kakao</w:t>
      </w:r>
      <w:r w:rsidR="00420F99">
        <w:rPr>
          <w:rFonts w:ascii="Times New Roman" w:hAnsi="Times New Roman"/>
          <w:sz w:val="24"/>
          <w:szCs w:val="24"/>
        </w:rPr>
        <w:t>,</w:t>
      </w:r>
    </w:p>
    <w:p w:rsidR="00251E2F" w:rsidRDefault="00420F99" w:rsidP="00420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>p</w:t>
      </w:r>
      <w:r w:rsidR="004C4E00" w:rsidRPr="00420F99">
        <w:rPr>
          <w:rFonts w:ascii="Times New Roman" w:hAnsi="Times New Roman"/>
          <w:sz w:val="24"/>
          <w:szCs w:val="24"/>
        </w:rPr>
        <w:t xml:space="preserve">rodukty, których zawartość kwasu szczawiowego jest </w:t>
      </w:r>
      <w:r w:rsidR="001C2EB2" w:rsidRPr="00420F99">
        <w:rPr>
          <w:rFonts w:ascii="Times New Roman" w:hAnsi="Times New Roman"/>
          <w:sz w:val="24"/>
          <w:szCs w:val="24"/>
        </w:rPr>
        <w:t>prawie równoważna zawartości wapnia – stosunek molowy (COOH)</w:t>
      </w:r>
      <w:r w:rsidR="001C2EB2" w:rsidRPr="00420F99">
        <w:rPr>
          <w:rFonts w:ascii="Times New Roman" w:hAnsi="Times New Roman"/>
          <w:sz w:val="24"/>
          <w:szCs w:val="24"/>
          <w:vertAlign w:val="subscript"/>
        </w:rPr>
        <w:t>2</w:t>
      </w:r>
      <w:r w:rsidR="001C2EB2" w:rsidRPr="00420F99">
        <w:rPr>
          <w:rFonts w:ascii="Times New Roman" w:hAnsi="Times New Roman"/>
          <w:sz w:val="24"/>
          <w:szCs w:val="24"/>
        </w:rPr>
        <w:t xml:space="preserve"> </w:t>
      </w:r>
      <w:r w:rsidR="004515A3">
        <w:rPr>
          <w:rFonts w:ascii="Times New Roman" w:hAnsi="Times New Roman"/>
          <w:sz w:val="24"/>
          <w:szCs w:val="24"/>
        </w:rPr>
        <w:t xml:space="preserve">/Ca </w:t>
      </w:r>
      <w:r w:rsidR="001C2EB2" w:rsidRPr="00420F99">
        <w:rPr>
          <w:rFonts w:ascii="Times New Roman" w:hAnsi="Times New Roman"/>
          <w:sz w:val="24"/>
          <w:szCs w:val="24"/>
        </w:rPr>
        <w:t>w</w:t>
      </w:r>
      <w:r w:rsidR="00251E2F">
        <w:rPr>
          <w:rFonts w:ascii="Times New Roman" w:hAnsi="Times New Roman"/>
          <w:sz w:val="24"/>
          <w:szCs w:val="24"/>
        </w:rPr>
        <w:t xml:space="preserve">ynosi 1-2 </w:t>
      </w:r>
    </w:p>
    <w:p w:rsidR="004C4E00" w:rsidRPr="00420F99" w:rsidRDefault="001C2EB2" w:rsidP="00251E2F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lastRenderedPageBreak/>
        <w:t xml:space="preserve"> ziemniaki, owoce jagodowe,</w:t>
      </w:r>
    </w:p>
    <w:p w:rsidR="00251E2F" w:rsidRDefault="00420F99" w:rsidP="00420F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>p</w:t>
      </w:r>
      <w:r w:rsidR="001C2EB2" w:rsidRPr="00420F99">
        <w:rPr>
          <w:rFonts w:ascii="Times New Roman" w:hAnsi="Times New Roman"/>
          <w:sz w:val="24"/>
          <w:szCs w:val="24"/>
        </w:rPr>
        <w:t>rodukty, których zawartość kwasu szczawiowego jest niższa niż zawartość wapnia – stosunek molowy (COOH)</w:t>
      </w:r>
      <w:r w:rsidR="001C2EB2" w:rsidRPr="00C84D6A">
        <w:rPr>
          <w:rFonts w:ascii="Times New Roman" w:hAnsi="Times New Roman"/>
          <w:sz w:val="24"/>
          <w:szCs w:val="24"/>
          <w:vertAlign w:val="subscript"/>
        </w:rPr>
        <w:t>2</w:t>
      </w:r>
      <w:r w:rsidR="004515A3">
        <w:rPr>
          <w:rFonts w:ascii="Times New Roman" w:hAnsi="Times New Roman"/>
          <w:sz w:val="24"/>
          <w:szCs w:val="24"/>
        </w:rPr>
        <w:t>/</w:t>
      </w:r>
      <w:r w:rsidR="004515A3" w:rsidRPr="004515A3">
        <w:rPr>
          <w:rFonts w:ascii="Times New Roman" w:hAnsi="Times New Roman"/>
          <w:sz w:val="24"/>
          <w:szCs w:val="24"/>
        </w:rPr>
        <w:t>Ca</w:t>
      </w:r>
      <w:r w:rsidR="001C2EB2" w:rsidRPr="004515A3">
        <w:rPr>
          <w:rFonts w:ascii="Times New Roman" w:hAnsi="Times New Roman"/>
          <w:sz w:val="24"/>
          <w:szCs w:val="24"/>
        </w:rPr>
        <w:t xml:space="preserve"> </w:t>
      </w:r>
      <w:r w:rsidR="001C2EB2" w:rsidRPr="00420F99">
        <w:rPr>
          <w:rFonts w:ascii="Times New Roman" w:hAnsi="Times New Roman"/>
          <w:sz w:val="24"/>
          <w:szCs w:val="24"/>
        </w:rPr>
        <w:sym w:font="Symbol" w:char="F03C"/>
      </w:r>
      <w:r w:rsidR="00251E2F">
        <w:rPr>
          <w:rFonts w:ascii="Times New Roman" w:hAnsi="Times New Roman"/>
          <w:sz w:val="24"/>
          <w:szCs w:val="24"/>
        </w:rPr>
        <w:t xml:space="preserve"> 1</w:t>
      </w:r>
    </w:p>
    <w:p w:rsidR="001C2EB2" w:rsidRPr="00420F99" w:rsidRDefault="001C2EB2" w:rsidP="00251E2F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 xml:space="preserve"> sałata, kapusta, kalafior, marchew.</w:t>
      </w:r>
    </w:p>
    <w:p w:rsidR="001C2EB2" w:rsidRPr="00420F99" w:rsidRDefault="0025026E" w:rsidP="00420F99">
      <w:pPr>
        <w:spacing w:line="360" w:lineRule="auto"/>
        <w:ind w:firstLine="420"/>
        <w:jc w:val="both"/>
      </w:pPr>
      <w:r w:rsidRPr="00420F99">
        <w:t>Aby ochronić organizm przed nadmiernymi stratami składników mineralnych</w:t>
      </w:r>
      <w:r w:rsidR="00166345">
        <w:t xml:space="preserve"> (wapnia)</w:t>
      </w:r>
      <w:r w:rsidRPr="00420F99">
        <w:t xml:space="preserve"> należy:</w:t>
      </w:r>
    </w:p>
    <w:p w:rsidR="0025026E" w:rsidRPr="00420F99" w:rsidRDefault="00420F99" w:rsidP="00420F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>o</w:t>
      </w:r>
      <w:r w:rsidR="0025026E" w:rsidRPr="00420F99">
        <w:rPr>
          <w:rFonts w:ascii="Times New Roman" w:hAnsi="Times New Roman"/>
          <w:sz w:val="24"/>
          <w:szCs w:val="24"/>
        </w:rPr>
        <w:t xml:space="preserve">graniczyć </w:t>
      </w:r>
      <w:r w:rsidRPr="00420F99">
        <w:rPr>
          <w:rFonts w:ascii="Times New Roman" w:hAnsi="Times New Roman"/>
          <w:sz w:val="24"/>
          <w:szCs w:val="24"/>
        </w:rPr>
        <w:t>spożywanie produktów</w:t>
      </w:r>
      <w:r w:rsidR="0025026E" w:rsidRPr="00420F99">
        <w:rPr>
          <w:rFonts w:ascii="Times New Roman" w:hAnsi="Times New Roman"/>
          <w:sz w:val="24"/>
          <w:szCs w:val="24"/>
        </w:rPr>
        <w:t>, w których stosunek molowy kwasu szczawiowego do wapnia jest większy niż 2 lub</w:t>
      </w:r>
      <w:r w:rsidR="00B21600">
        <w:rPr>
          <w:rFonts w:ascii="Times New Roman" w:hAnsi="Times New Roman"/>
          <w:sz w:val="24"/>
          <w:szCs w:val="24"/>
        </w:rPr>
        <w:t xml:space="preserve"> wykluczyć je</w:t>
      </w:r>
      <w:r w:rsidR="0025026E" w:rsidRPr="00420F99">
        <w:rPr>
          <w:rFonts w:ascii="Times New Roman" w:hAnsi="Times New Roman"/>
          <w:sz w:val="24"/>
          <w:szCs w:val="24"/>
        </w:rPr>
        <w:t xml:space="preserve"> z diety</w:t>
      </w:r>
      <w:r w:rsidRPr="00420F99">
        <w:rPr>
          <w:rFonts w:ascii="Times New Roman" w:hAnsi="Times New Roman"/>
          <w:sz w:val="24"/>
          <w:szCs w:val="24"/>
        </w:rPr>
        <w:t>,</w:t>
      </w:r>
    </w:p>
    <w:p w:rsidR="00A90099" w:rsidRDefault="00420F99" w:rsidP="003D24C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F99">
        <w:rPr>
          <w:rFonts w:ascii="Times New Roman" w:hAnsi="Times New Roman"/>
          <w:sz w:val="24"/>
          <w:szCs w:val="24"/>
        </w:rPr>
        <w:t>u</w:t>
      </w:r>
      <w:r w:rsidR="0025026E" w:rsidRPr="00420F99">
        <w:rPr>
          <w:rFonts w:ascii="Times New Roman" w:hAnsi="Times New Roman"/>
          <w:sz w:val="24"/>
          <w:szCs w:val="24"/>
        </w:rPr>
        <w:t>zupełnić dietę w wapń poprzez spożywanie dodatkowej ilości produktów bogatych w</w:t>
      </w:r>
      <w:r w:rsidR="002511EC">
        <w:rPr>
          <w:rFonts w:ascii="Times New Roman" w:hAnsi="Times New Roman"/>
          <w:sz w:val="24"/>
          <w:szCs w:val="24"/>
        </w:rPr>
        <w:t xml:space="preserve"> ten składnik, </w:t>
      </w:r>
      <w:r w:rsidR="0025026E" w:rsidRPr="00420F99">
        <w:rPr>
          <w:rFonts w:ascii="Times New Roman" w:hAnsi="Times New Roman"/>
          <w:sz w:val="24"/>
          <w:szCs w:val="24"/>
        </w:rPr>
        <w:t>takich jak: mleko i przetwory mleczne</w:t>
      </w:r>
      <w:r w:rsidR="00080F57">
        <w:rPr>
          <w:rFonts w:ascii="Times New Roman" w:hAnsi="Times New Roman"/>
          <w:sz w:val="24"/>
          <w:szCs w:val="24"/>
        </w:rPr>
        <w:t>.</w:t>
      </w:r>
    </w:p>
    <w:p w:rsidR="00A93469" w:rsidRDefault="00A93469" w:rsidP="00A93469">
      <w:pPr>
        <w:spacing w:line="360" w:lineRule="auto"/>
        <w:ind w:left="360"/>
        <w:jc w:val="both"/>
      </w:pPr>
      <w:r>
        <w:t>Tabela 1. Zawartość kwasu szczawiowego oraz jego stosunek molowy do wapnia w niektórych produktach.</w:t>
      </w:r>
    </w:p>
    <w:tbl>
      <w:tblPr>
        <w:tblStyle w:val="Tabela-Siatka"/>
        <w:tblW w:w="9104" w:type="dxa"/>
        <w:tblInd w:w="360" w:type="dxa"/>
        <w:tblLook w:val="04A0" w:firstRow="1" w:lastRow="0" w:firstColumn="1" w:lastColumn="0" w:noHBand="0" w:noVBand="1"/>
      </w:tblPr>
      <w:tblGrid>
        <w:gridCol w:w="2202"/>
        <w:gridCol w:w="2244"/>
        <w:gridCol w:w="2106"/>
        <w:gridCol w:w="2552"/>
      </w:tblGrid>
      <w:tr w:rsidR="00A969BD" w:rsidTr="00A969BD">
        <w:tc>
          <w:tcPr>
            <w:tcW w:w="2202" w:type="dxa"/>
            <w:vAlign w:val="center"/>
          </w:tcPr>
          <w:p w:rsidR="00A93469" w:rsidRDefault="00A969BD" w:rsidP="00A969BD">
            <w:pPr>
              <w:spacing w:line="360" w:lineRule="auto"/>
              <w:jc w:val="center"/>
            </w:pPr>
            <w:r>
              <w:t>Produkt</w:t>
            </w:r>
          </w:p>
        </w:tc>
        <w:tc>
          <w:tcPr>
            <w:tcW w:w="2244" w:type="dxa"/>
            <w:vAlign w:val="center"/>
          </w:tcPr>
          <w:p w:rsidR="00A93469" w:rsidRDefault="00A969BD" w:rsidP="00A969BD">
            <w:pPr>
              <w:spacing w:line="360" w:lineRule="auto"/>
              <w:jc w:val="center"/>
            </w:pPr>
            <w:r>
              <w:t>Zawartość kwasu szczawiowego</w:t>
            </w:r>
          </w:p>
          <w:p w:rsidR="00A969BD" w:rsidRDefault="00A969BD" w:rsidP="00A969BD">
            <w:pPr>
              <w:spacing w:line="360" w:lineRule="auto"/>
              <w:jc w:val="center"/>
            </w:pPr>
            <w:r>
              <w:t>(mg/100g)</w:t>
            </w:r>
          </w:p>
        </w:tc>
        <w:tc>
          <w:tcPr>
            <w:tcW w:w="2106" w:type="dxa"/>
            <w:vAlign w:val="center"/>
          </w:tcPr>
          <w:p w:rsidR="00A93469" w:rsidRDefault="00A969BD" w:rsidP="00A969BD">
            <w:pPr>
              <w:spacing w:line="360" w:lineRule="auto"/>
              <w:jc w:val="center"/>
            </w:pPr>
            <w:r>
              <w:t>Zawartość wapnia</w:t>
            </w:r>
          </w:p>
          <w:p w:rsidR="00A969BD" w:rsidRDefault="00A969BD" w:rsidP="00A969BD">
            <w:pPr>
              <w:spacing w:line="360" w:lineRule="auto"/>
              <w:jc w:val="center"/>
            </w:pPr>
            <w:r>
              <w:t>(mg/100g)</w:t>
            </w:r>
          </w:p>
        </w:tc>
        <w:tc>
          <w:tcPr>
            <w:tcW w:w="2552" w:type="dxa"/>
            <w:vAlign w:val="center"/>
          </w:tcPr>
          <w:p w:rsidR="00A969BD" w:rsidRDefault="00A969BD" w:rsidP="00A969BD">
            <w:pPr>
              <w:spacing w:line="360" w:lineRule="auto"/>
              <w:jc w:val="center"/>
            </w:pPr>
            <w:r>
              <w:t>Stosunek molowy</w:t>
            </w:r>
          </w:p>
          <w:p w:rsidR="00A93469" w:rsidRPr="00A969BD" w:rsidRDefault="00A969BD" w:rsidP="00A969BD">
            <w:pPr>
              <w:spacing w:line="360" w:lineRule="auto"/>
              <w:jc w:val="center"/>
            </w:pPr>
            <w:r>
              <w:t>[mEq(COOH)</w:t>
            </w:r>
            <w:r>
              <w:rPr>
                <w:vertAlign w:val="subscript"/>
              </w:rPr>
              <w:t>2</w:t>
            </w:r>
            <w:r>
              <w:t>/mEqCa]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Buraki, korzeń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124-450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18-30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5,10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Kalafior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0-21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150-200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0,03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Kapusta pekińska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0-6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60-100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0,02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Marchew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5-60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30-50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0,36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Rabarbar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275-1336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40-50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8,5</w:t>
            </w:r>
            <w:r w:rsidR="004515A3">
              <w:t>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Sałata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5-20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73-90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0,06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Szczaw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270-730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35-40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5,60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Szpinak</w:t>
            </w:r>
          </w:p>
        </w:tc>
        <w:tc>
          <w:tcPr>
            <w:tcW w:w="2244" w:type="dxa"/>
            <w:vAlign w:val="center"/>
          </w:tcPr>
          <w:p w:rsidR="00A93469" w:rsidRDefault="004515A3" w:rsidP="007C1B50">
            <w:pPr>
              <w:spacing w:line="360" w:lineRule="auto"/>
              <w:jc w:val="center"/>
            </w:pPr>
            <w:r>
              <w:t>3</w:t>
            </w:r>
            <w:r w:rsidR="00A969BD">
              <w:t>20-1260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80-122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4,30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Ziemniaki</w:t>
            </w:r>
          </w:p>
        </w:tc>
        <w:tc>
          <w:tcPr>
            <w:tcW w:w="2244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20-141</w:t>
            </w:r>
          </w:p>
        </w:tc>
        <w:tc>
          <w:tcPr>
            <w:tcW w:w="2106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10-34</w:t>
            </w:r>
          </w:p>
        </w:tc>
        <w:tc>
          <w:tcPr>
            <w:tcW w:w="2552" w:type="dxa"/>
            <w:vAlign w:val="center"/>
          </w:tcPr>
          <w:p w:rsidR="00A93469" w:rsidRDefault="00A969BD" w:rsidP="007C1B50">
            <w:pPr>
              <w:spacing w:line="360" w:lineRule="auto"/>
              <w:jc w:val="center"/>
            </w:pPr>
            <w:r>
              <w:t>1,60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Herbata</w:t>
            </w:r>
          </w:p>
        </w:tc>
        <w:tc>
          <w:tcPr>
            <w:tcW w:w="2244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300-2000</w:t>
            </w:r>
          </w:p>
        </w:tc>
        <w:tc>
          <w:tcPr>
            <w:tcW w:w="2106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400-500</w:t>
            </w:r>
          </w:p>
        </w:tc>
        <w:tc>
          <w:tcPr>
            <w:tcW w:w="255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1,13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Kakao</w:t>
            </w:r>
          </w:p>
        </w:tc>
        <w:tc>
          <w:tcPr>
            <w:tcW w:w="2244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500-900</w:t>
            </w:r>
          </w:p>
        </w:tc>
        <w:tc>
          <w:tcPr>
            <w:tcW w:w="2106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100-150</w:t>
            </w:r>
          </w:p>
        </w:tc>
        <w:tc>
          <w:tcPr>
            <w:tcW w:w="255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2,60</w:t>
            </w:r>
          </w:p>
        </w:tc>
      </w:tr>
      <w:tr w:rsidR="00A969BD" w:rsidTr="007C1B50">
        <w:tc>
          <w:tcPr>
            <w:tcW w:w="220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Kawa</w:t>
            </w:r>
          </w:p>
        </w:tc>
        <w:tc>
          <w:tcPr>
            <w:tcW w:w="2244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50-150</w:t>
            </w:r>
          </w:p>
        </w:tc>
        <w:tc>
          <w:tcPr>
            <w:tcW w:w="2106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10-15</w:t>
            </w:r>
          </w:p>
        </w:tc>
        <w:tc>
          <w:tcPr>
            <w:tcW w:w="2552" w:type="dxa"/>
            <w:vAlign w:val="center"/>
          </w:tcPr>
          <w:p w:rsidR="00A93469" w:rsidRDefault="0032627B" w:rsidP="007C1B50">
            <w:pPr>
              <w:spacing w:line="360" w:lineRule="auto"/>
              <w:jc w:val="center"/>
            </w:pPr>
            <w:r>
              <w:t>3,90</w:t>
            </w:r>
          </w:p>
        </w:tc>
      </w:tr>
    </w:tbl>
    <w:p w:rsidR="00CF642E" w:rsidRPr="004B2C35" w:rsidRDefault="00CF642E" w:rsidP="003D24C2">
      <w:pPr>
        <w:spacing w:line="360" w:lineRule="auto"/>
        <w:jc w:val="both"/>
        <w:rPr>
          <w:b/>
        </w:rPr>
      </w:pPr>
    </w:p>
    <w:p w:rsidR="001B32F4" w:rsidRDefault="00080F57" w:rsidP="003D24C2">
      <w:pPr>
        <w:spacing w:line="360" w:lineRule="auto"/>
        <w:jc w:val="both"/>
        <w:rPr>
          <w:b/>
        </w:rPr>
      </w:pPr>
      <w:r>
        <w:rPr>
          <w:b/>
        </w:rPr>
        <w:t>Tiocyjaniany</w:t>
      </w:r>
    </w:p>
    <w:p w:rsidR="00346471" w:rsidRDefault="005A4D5F" w:rsidP="00346471">
      <w:pPr>
        <w:spacing w:line="360" w:lineRule="auto"/>
        <w:ind w:firstLine="708"/>
        <w:jc w:val="both"/>
      </w:pPr>
      <w:r w:rsidRPr="005A4D5F">
        <w:t>W roślinach krzyżowych występują</w:t>
      </w:r>
      <w:r>
        <w:t xml:space="preserve"> tioglikozydy (glukozynolany), związki chemiczne posiadające wiązanie S-glikozydowe, będące naturalnymi substancjami wolotwórczymi</w:t>
      </w:r>
      <w:r>
        <w:rPr>
          <w:b/>
        </w:rPr>
        <w:t xml:space="preserve">. </w:t>
      </w:r>
      <w:r w:rsidR="00346471" w:rsidRPr="00346471">
        <w:t xml:space="preserve">Antyodżywcze działanie tych związków polega na zaburzeniu wchłaniania jodu przez </w:t>
      </w:r>
      <w:r w:rsidR="00346471">
        <w:t>gruczoł tarczycowy i zaburzeniu</w:t>
      </w:r>
      <w:r w:rsidR="00346471" w:rsidRPr="00346471">
        <w:t xml:space="preserve"> syntezy hormonów tarczycy</w:t>
      </w:r>
      <w:r w:rsidR="00346471">
        <w:t>.</w:t>
      </w:r>
      <w:r w:rsidR="00346471" w:rsidRPr="00346471">
        <w:t xml:space="preserve"> </w:t>
      </w:r>
      <w:r w:rsidR="00D863C9">
        <w:t>Oprócz działania antyżywieniowego tioglikozydy wykazują także korzystne właściwości antykanceroge</w:t>
      </w:r>
      <w:r w:rsidR="00A21125">
        <w:t>n</w:t>
      </w:r>
      <w:r w:rsidR="00D863C9">
        <w:t xml:space="preserve">ne. </w:t>
      </w:r>
      <w:r w:rsidR="00346471">
        <w:t>Z glukozynolanów</w:t>
      </w:r>
      <w:r w:rsidRPr="00346471">
        <w:t xml:space="preserve"> w wyniku</w:t>
      </w:r>
      <w:r w:rsidRPr="005A4D5F">
        <w:t xml:space="preserve"> enzymatycznej hydrolizy pod wpływem tioglikozydazy</w:t>
      </w:r>
      <w:r>
        <w:t xml:space="preserve"> (m</w:t>
      </w:r>
      <w:r w:rsidR="004D2CA0">
        <w:t>i</w:t>
      </w:r>
      <w:r>
        <w:t xml:space="preserve">rozynazy) powstają: </w:t>
      </w:r>
      <w:r w:rsidRPr="005A4D5F">
        <w:rPr>
          <w:b/>
        </w:rPr>
        <w:t>tiocyjaniany</w:t>
      </w:r>
      <w:r>
        <w:rPr>
          <w:b/>
        </w:rPr>
        <w:t xml:space="preserve">, </w:t>
      </w:r>
      <w:r w:rsidRPr="005A4D5F">
        <w:t xml:space="preserve">izotiocyjaniany, związki </w:t>
      </w:r>
      <w:r>
        <w:t>indolowe, nitryle i izooksazolidyny.</w:t>
      </w:r>
      <w:r w:rsidRPr="005A4D5F">
        <w:t xml:space="preserve"> </w:t>
      </w:r>
      <w:r w:rsidR="00E80AAD">
        <w:t xml:space="preserve">Enzymatyczny rozkład tioglikozydów ma miejsce podczas żucia pokarmów i rozdrabiania warzyw w wyniku zmiażdżenia tkanek i uwolnienia </w:t>
      </w:r>
      <w:r w:rsidR="004D2CA0">
        <w:t>mi</w:t>
      </w:r>
      <w:r w:rsidR="00E80AAD">
        <w:t xml:space="preserve">rozynazy z komórek. Większość aktywnych </w:t>
      </w:r>
      <w:r w:rsidR="00D863C9">
        <w:t>tio</w:t>
      </w:r>
      <w:r w:rsidR="00E80AAD">
        <w:t>glikozydów uwalnia się podczas ekstrakcji wodą i gotowania warzyw. W temperaturze 90</w:t>
      </w:r>
      <w:r w:rsidR="00E80AAD">
        <w:sym w:font="Symbol" w:char="F0B0"/>
      </w:r>
      <w:r w:rsidR="00E80AAD">
        <w:t xml:space="preserve">C następuje denaturacja i zahamowanie działania mirozynazy. Większość tiocyjanianów jest lotna i podczas gotowania warzyw w otwartym naczyniu ulatnia się z parą wodną. </w:t>
      </w:r>
    </w:p>
    <w:p w:rsidR="00C2186F" w:rsidRDefault="00346471" w:rsidP="00C2186F">
      <w:pPr>
        <w:spacing w:line="360" w:lineRule="auto"/>
        <w:ind w:firstLine="708"/>
        <w:jc w:val="both"/>
      </w:pPr>
      <w:r>
        <w:t>Tiocyjaniany łatwo przenikają przez wszystkie błony komórkowe. W wyniku konkurencji z jonami jodu, hamują ich transport do tkanek, w tym do tarczycy. Przyspieszają również wydalanie jodu przez nerki, inaktywują także peroksydazę tarczycową i sprzęganie jodotyrozyny, co skutkuje obniżeniem stężenia jodu w tarczycy, gromadzeniem się mono-i dijodotyrozyny, co z kolei prowadzi do przerostu masy gruczołu tarczycowego. Wolotwórcze działanie tych związków jest tym silniejsze im mniejsza jest podaż jodu z dietą.</w:t>
      </w:r>
      <w:r w:rsidR="00D863C9">
        <w:t xml:space="preserve"> </w:t>
      </w:r>
      <w:r w:rsidR="00080F57">
        <w:t>Częste spożywanie warzyw kapustnych jest istotnym elementem profilaktyki chorób nowotworowych</w:t>
      </w:r>
      <w:r w:rsidR="00D45762">
        <w:t>,</w:t>
      </w:r>
      <w:r w:rsidR="00080F57">
        <w:t xml:space="preserve"> wymaga jednak równoczesnej podaży produktów </w:t>
      </w:r>
      <w:r w:rsidR="00D45762">
        <w:t>o wysokiej zawartości jodu takich jak: ryby morskie, owoce morza, mleko i jaja</w:t>
      </w:r>
      <w:r w:rsidR="00A21125">
        <w:t>.</w:t>
      </w:r>
    </w:p>
    <w:p w:rsidR="00E80AAD" w:rsidRDefault="00E80AAD" w:rsidP="00C2186F">
      <w:pPr>
        <w:spacing w:line="360" w:lineRule="auto"/>
        <w:jc w:val="both"/>
      </w:pPr>
      <w:r>
        <w:t xml:space="preserve">Tabela 2. </w:t>
      </w:r>
      <w:r w:rsidR="00C2186F">
        <w:t xml:space="preserve">Zawartość tiocyjanianów w niektórych warzywach 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16"/>
      </w:tblGrid>
      <w:tr w:rsidR="00E80AAD" w:rsidTr="00184512">
        <w:tc>
          <w:tcPr>
            <w:tcW w:w="4924" w:type="dxa"/>
            <w:vAlign w:val="center"/>
          </w:tcPr>
          <w:p w:rsidR="00E80AAD" w:rsidRDefault="00E80AAD" w:rsidP="004515A3">
            <w:pPr>
              <w:spacing w:line="360" w:lineRule="auto"/>
              <w:jc w:val="center"/>
            </w:pPr>
            <w:r>
              <w:t>Produkt</w:t>
            </w:r>
          </w:p>
        </w:tc>
        <w:tc>
          <w:tcPr>
            <w:tcW w:w="4716" w:type="dxa"/>
            <w:vAlign w:val="center"/>
          </w:tcPr>
          <w:p w:rsidR="00E80AAD" w:rsidRPr="00E80AAD" w:rsidRDefault="00E80AAD" w:rsidP="00D84798">
            <w:pPr>
              <w:spacing w:line="360" w:lineRule="auto"/>
              <w:jc w:val="center"/>
            </w:pPr>
            <w:r>
              <w:t>SCN</w:t>
            </w:r>
            <w:r w:rsidR="00D84798">
              <w:rPr>
                <w:vertAlign w:val="superscript"/>
              </w:rPr>
              <w:t>ˉ</w:t>
            </w:r>
            <w:r>
              <w:t xml:space="preserve"> (mg/100g produktu)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E80AAD" w:rsidP="004515A3">
            <w:pPr>
              <w:spacing w:line="360" w:lineRule="auto"/>
              <w:jc w:val="center"/>
            </w:pPr>
            <w:r>
              <w:t>Kapusta głowiasta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3-6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E80AAD" w:rsidP="004515A3">
            <w:pPr>
              <w:spacing w:line="360" w:lineRule="auto"/>
              <w:jc w:val="center"/>
            </w:pPr>
            <w:r>
              <w:t>Jarmuż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3-25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Kapusta włoska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18-31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Brukselka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10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Kalafior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4-10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Kalarepa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2-3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Żółta rzepa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9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Rzepak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2,5</w:t>
            </w:r>
          </w:p>
        </w:tc>
      </w:tr>
      <w:tr w:rsidR="00E80AAD" w:rsidTr="00184512">
        <w:tc>
          <w:tcPr>
            <w:tcW w:w="4924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t>Sałata, szpinak, cebula, seler, rzodkiewka, pomidory</w:t>
            </w:r>
          </w:p>
        </w:tc>
        <w:tc>
          <w:tcPr>
            <w:tcW w:w="4716" w:type="dxa"/>
            <w:vAlign w:val="center"/>
          </w:tcPr>
          <w:p w:rsidR="00E80AAD" w:rsidRDefault="009D223D" w:rsidP="004515A3">
            <w:pPr>
              <w:spacing w:line="360" w:lineRule="auto"/>
              <w:jc w:val="center"/>
            </w:pPr>
            <w:r>
              <w:sym w:font="Symbol" w:char="F03C"/>
            </w:r>
            <w:r>
              <w:t xml:space="preserve"> 1</w:t>
            </w:r>
          </w:p>
        </w:tc>
      </w:tr>
    </w:tbl>
    <w:p w:rsidR="001300B6" w:rsidRDefault="001300B6" w:rsidP="003D24C2">
      <w:pPr>
        <w:spacing w:line="360" w:lineRule="auto"/>
        <w:jc w:val="both"/>
        <w:rPr>
          <w:b/>
        </w:rPr>
      </w:pPr>
    </w:p>
    <w:p w:rsidR="00F21BA8" w:rsidRPr="004B2C35" w:rsidRDefault="001740B8" w:rsidP="003D24C2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F21BA8" w:rsidRPr="004B2C35">
        <w:rPr>
          <w:b/>
        </w:rPr>
        <w:t>.</w:t>
      </w:r>
      <w:r w:rsidR="00F21BA8">
        <w:rPr>
          <w:b/>
        </w:rPr>
        <w:t xml:space="preserve"> </w:t>
      </w:r>
      <w:r w:rsidR="00F21BA8" w:rsidRPr="004B2C35">
        <w:rPr>
          <w:b/>
        </w:rPr>
        <w:t xml:space="preserve">Część praktyczna </w:t>
      </w:r>
    </w:p>
    <w:p w:rsidR="00F21BA8" w:rsidRPr="001740B8" w:rsidRDefault="001740B8" w:rsidP="001740B8">
      <w:pPr>
        <w:spacing w:line="360" w:lineRule="auto"/>
        <w:jc w:val="both"/>
        <w:rPr>
          <w:b/>
        </w:rPr>
      </w:pPr>
      <w:r w:rsidRPr="001740B8">
        <w:rPr>
          <w:b/>
        </w:rPr>
        <w:t xml:space="preserve">2.1. </w:t>
      </w:r>
      <w:r w:rsidR="00F21BA8" w:rsidRPr="001740B8">
        <w:rPr>
          <w:b/>
        </w:rPr>
        <w:t>Oznaczanie zawartości szczawianów rozpuszczalnych w kawie i/lub herbacie</w:t>
      </w:r>
    </w:p>
    <w:p w:rsidR="00F21BA8" w:rsidRDefault="00F21BA8" w:rsidP="003D24C2">
      <w:pPr>
        <w:spacing w:line="360" w:lineRule="auto"/>
        <w:jc w:val="both"/>
      </w:pPr>
      <w:r w:rsidRPr="00217F10">
        <w:t xml:space="preserve">Celem ćwiczenia jest oznaczenie zawartości szczawianów rozpuszczalnych w naparach </w:t>
      </w:r>
      <w:r>
        <w:t xml:space="preserve">herbaty, </w:t>
      </w:r>
      <w:r w:rsidRPr="00217F10">
        <w:t>kawy</w:t>
      </w:r>
      <w:r>
        <w:t xml:space="preserve"> i kakao</w:t>
      </w:r>
      <w:r w:rsidR="00A520E9">
        <w:t xml:space="preserve"> </w:t>
      </w:r>
      <w:r w:rsidRPr="00217F10">
        <w:t xml:space="preserve">oraz określenie stopnia wiązania wapnia przez kwas szczawiowy. </w:t>
      </w:r>
    </w:p>
    <w:p w:rsidR="00F21BA8" w:rsidRDefault="00F21BA8" w:rsidP="003D24C2">
      <w:pPr>
        <w:spacing w:line="360" w:lineRule="auto"/>
        <w:jc w:val="both"/>
        <w:rPr>
          <w:b/>
        </w:rPr>
      </w:pPr>
      <w:r>
        <w:rPr>
          <w:b/>
        </w:rPr>
        <w:t>Materiał do ćwiczeń</w:t>
      </w:r>
    </w:p>
    <w:p w:rsidR="00F21BA8" w:rsidRDefault="00F21BA8" w:rsidP="003D24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>Herbata - różne rodzaje (np.</w:t>
      </w:r>
      <w:r>
        <w:rPr>
          <w:rFonts w:ascii="Times New Roman" w:hAnsi="Times New Roman"/>
          <w:sz w:val="24"/>
          <w:szCs w:val="24"/>
        </w:rPr>
        <w:t xml:space="preserve"> czarna, czerwona, zielona</w:t>
      </w:r>
      <w:r w:rsidRPr="008672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2E2">
        <w:rPr>
          <w:rFonts w:ascii="Times New Roman" w:hAnsi="Times New Roman"/>
          <w:sz w:val="24"/>
          <w:szCs w:val="24"/>
        </w:rPr>
        <w:t>owocowa) i różne formy ( np. ekspresowa, liściasta, granulowana, liściasta, rozdrobniona),</w:t>
      </w:r>
    </w:p>
    <w:p w:rsidR="00F21BA8" w:rsidRPr="008672E2" w:rsidRDefault="00F21BA8" w:rsidP="003D24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 xml:space="preserve"> kawa, kawa zbożowa, kakao.  </w:t>
      </w:r>
    </w:p>
    <w:p w:rsidR="00F21BA8" w:rsidRDefault="00F21BA8" w:rsidP="003D24C2">
      <w:pPr>
        <w:spacing w:line="360" w:lineRule="auto"/>
        <w:jc w:val="both"/>
        <w:rPr>
          <w:b/>
        </w:rPr>
      </w:pPr>
      <w:r w:rsidRPr="00217F10">
        <w:rPr>
          <w:b/>
        </w:rPr>
        <w:t>Odczynniki</w:t>
      </w:r>
    </w:p>
    <w:p w:rsidR="00F21BA8" w:rsidRPr="008672E2" w:rsidRDefault="00F21BA8" w:rsidP="003D24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>5% roztwór chlorku wapniowego (CaCl</w:t>
      </w:r>
      <w:r w:rsidRPr="008672E2">
        <w:rPr>
          <w:rFonts w:ascii="Times New Roman" w:hAnsi="Times New Roman"/>
          <w:sz w:val="24"/>
          <w:szCs w:val="24"/>
          <w:vertAlign w:val="subscript"/>
        </w:rPr>
        <w:t>2</w:t>
      </w:r>
      <w:r w:rsidRPr="008672E2">
        <w:rPr>
          <w:rFonts w:ascii="Times New Roman" w:hAnsi="Times New Roman"/>
          <w:sz w:val="24"/>
          <w:szCs w:val="24"/>
        </w:rPr>
        <w:t>),</w:t>
      </w:r>
    </w:p>
    <w:p w:rsidR="00F21BA8" w:rsidRPr="008672E2" w:rsidRDefault="00F21BA8" w:rsidP="003D24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>aceton,</w:t>
      </w:r>
    </w:p>
    <w:p w:rsidR="00F21BA8" w:rsidRPr="008672E2" w:rsidRDefault="00F21BA8" w:rsidP="003D24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>10% roztwór kwasu siarkowego (H</w:t>
      </w:r>
      <w:r w:rsidRPr="008672E2">
        <w:rPr>
          <w:rFonts w:ascii="Times New Roman" w:hAnsi="Times New Roman"/>
          <w:sz w:val="24"/>
          <w:szCs w:val="24"/>
          <w:vertAlign w:val="subscript"/>
        </w:rPr>
        <w:t>2</w:t>
      </w:r>
      <w:r w:rsidRPr="008672E2">
        <w:rPr>
          <w:rFonts w:ascii="Times New Roman" w:hAnsi="Times New Roman"/>
          <w:sz w:val="24"/>
          <w:szCs w:val="24"/>
        </w:rPr>
        <w:t>SO</w:t>
      </w:r>
      <w:r w:rsidRPr="008672E2">
        <w:rPr>
          <w:rFonts w:ascii="Times New Roman" w:hAnsi="Times New Roman"/>
          <w:sz w:val="24"/>
          <w:szCs w:val="24"/>
          <w:vertAlign w:val="subscript"/>
        </w:rPr>
        <w:t>4</w:t>
      </w:r>
      <w:r w:rsidRPr="008672E2">
        <w:rPr>
          <w:rFonts w:ascii="Times New Roman" w:hAnsi="Times New Roman"/>
          <w:sz w:val="24"/>
          <w:szCs w:val="24"/>
        </w:rPr>
        <w:t>),</w:t>
      </w:r>
    </w:p>
    <w:p w:rsidR="00F21BA8" w:rsidRPr="008672E2" w:rsidRDefault="00F21BA8" w:rsidP="003D24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2E2">
        <w:rPr>
          <w:rFonts w:ascii="Times New Roman" w:hAnsi="Times New Roman"/>
          <w:sz w:val="24"/>
          <w:szCs w:val="24"/>
        </w:rPr>
        <w:t>0,02 N roztwór nadmanganianu potasowego (KMnO</w:t>
      </w:r>
      <w:r w:rsidRPr="008672E2">
        <w:rPr>
          <w:rFonts w:ascii="Times New Roman" w:hAnsi="Times New Roman"/>
          <w:sz w:val="24"/>
          <w:szCs w:val="24"/>
          <w:vertAlign w:val="subscript"/>
        </w:rPr>
        <w:t>4</w:t>
      </w:r>
      <w:r w:rsidRPr="008672E2">
        <w:rPr>
          <w:rFonts w:ascii="Times New Roman" w:hAnsi="Times New Roman"/>
          <w:sz w:val="24"/>
          <w:szCs w:val="24"/>
        </w:rPr>
        <w:t>)</w:t>
      </w:r>
    </w:p>
    <w:p w:rsidR="00F21BA8" w:rsidRDefault="00F21BA8" w:rsidP="003D24C2">
      <w:pPr>
        <w:spacing w:line="360" w:lineRule="auto"/>
        <w:jc w:val="both"/>
        <w:rPr>
          <w:b/>
        </w:rPr>
      </w:pPr>
      <w:r w:rsidRPr="00217F10">
        <w:rPr>
          <w:b/>
        </w:rPr>
        <w:t>Sprzęt</w:t>
      </w:r>
    </w:p>
    <w:p w:rsidR="00F21BA8" w:rsidRPr="008672E2" w:rsidRDefault="00CE6C69" w:rsidP="003D24C2">
      <w:pPr>
        <w:spacing w:line="360" w:lineRule="auto"/>
        <w:jc w:val="both"/>
      </w:pPr>
      <w:r>
        <w:t xml:space="preserve">Probówki wirówkowe poj. </w:t>
      </w:r>
      <w:r w:rsidR="004515A3">
        <w:t>10 ml</w:t>
      </w:r>
    </w:p>
    <w:p w:rsidR="00F21BA8" w:rsidRPr="008672E2" w:rsidRDefault="00F21BA8" w:rsidP="003D24C2">
      <w:pPr>
        <w:spacing w:line="360" w:lineRule="auto"/>
        <w:jc w:val="both"/>
      </w:pPr>
      <w:r>
        <w:t xml:space="preserve">Pipety poj. 5, 10 </w:t>
      </w:r>
      <w:r w:rsidR="004515A3">
        <w:t>ml</w:t>
      </w:r>
      <w:r>
        <w:t>,</w:t>
      </w:r>
    </w:p>
    <w:p w:rsidR="00F21BA8" w:rsidRPr="008672E2" w:rsidRDefault="00F21BA8" w:rsidP="003D24C2">
      <w:pPr>
        <w:spacing w:line="360" w:lineRule="auto"/>
        <w:jc w:val="both"/>
      </w:pPr>
      <w:r>
        <w:t xml:space="preserve">Kolby stożkowe poj. </w:t>
      </w:r>
      <w:r w:rsidR="00CE6C69">
        <w:t xml:space="preserve">50 </w:t>
      </w:r>
      <w:r w:rsidR="004515A3">
        <w:t>ml,</w:t>
      </w:r>
    </w:p>
    <w:p w:rsidR="00F21BA8" w:rsidRDefault="00F21BA8" w:rsidP="003D24C2">
      <w:pPr>
        <w:spacing w:line="360" w:lineRule="auto"/>
        <w:jc w:val="both"/>
      </w:pPr>
      <w:r w:rsidRPr="008672E2">
        <w:t xml:space="preserve">zlewki poj. 250 </w:t>
      </w:r>
      <w:r w:rsidR="004515A3">
        <w:t>ml</w:t>
      </w:r>
      <w:r>
        <w:t>,</w:t>
      </w:r>
    </w:p>
    <w:p w:rsidR="00EB5E73" w:rsidRDefault="00EB5E73" w:rsidP="003D24C2">
      <w:pPr>
        <w:spacing w:line="360" w:lineRule="auto"/>
        <w:jc w:val="both"/>
      </w:pPr>
      <w:r>
        <w:t>sączki bibułowe</w:t>
      </w:r>
      <w:r w:rsidR="00C60466">
        <w:t>,</w:t>
      </w:r>
    </w:p>
    <w:p w:rsidR="00EB5E73" w:rsidRDefault="00CE6C69" w:rsidP="003D24C2">
      <w:pPr>
        <w:spacing w:line="360" w:lineRule="auto"/>
        <w:jc w:val="both"/>
      </w:pPr>
      <w:r>
        <w:t>lejki szkla</w:t>
      </w:r>
      <w:r w:rsidR="00EB5E73">
        <w:t>ne</w:t>
      </w:r>
      <w:r w:rsidR="00C60466">
        <w:t>,</w:t>
      </w:r>
    </w:p>
    <w:p w:rsidR="00EB5E73" w:rsidRDefault="00EB5E73" w:rsidP="003D24C2">
      <w:pPr>
        <w:spacing w:line="360" w:lineRule="auto"/>
        <w:jc w:val="both"/>
      </w:pPr>
      <w:r>
        <w:t>bagietki szklane</w:t>
      </w:r>
      <w:r w:rsidR="00C60466">
        <w:t>,</w:t>
      </w:r>
    </w:p>
    <w:p w:rsidR="00EB5E73" w:rsidRDefault="00EB5E73" w:rsidP="003D24C2">
      <w:pPr>
        <w:spacing w:line="360" w:lineRule="auto"/>
        <w:jc w:val="both"/>
      </w:pPr>
      <w:r>
        <w:t>łaźnia wodna o temperaturze 100</w:t>
      </w:r>
      <w:r>
        <w:sym w:font="Symbol" w:char="F0B0"/>
      </w:r>
      <w:r>
        <w:t>C</w:t>
      </w:r>
      <w:r w:rsidR="00953ADB">
        <w:t>.</w:t>
      </w:r>
    </w:p>
    <w:p w:rsidR="00F21BA8" w:rsidRDefault="00F21BA8" w:rsidP="003D24C2">
      <w:pPr>
        <w:spacing w:line="360" w:lineRule="auto"/>
        <w:jc w:val="both"/>
        <w:rPr>
          <w:b/>
        </w:rPr>
      </w:pPr>
      <w:r w:rsidRPr="00837A58">
        <w:rPr>
          <w:b/>
        </w:rPr>
        <w:t>Zasada metody</w:t>
      </w:r>
    </w:p>
    <w:p w:rsidR="000A2ABA" w:rsidRDefault="000A2ABA" w:rsidP="003D24C2">
      <w:pPr>
        <w:spacing w:line="360" w:lineRule="auto"/>
        <w:jc w:val="both"/>
      </w:pPr>
      <w:r w:rsidRPr="00C60466">
        <w:t>Szczawiany rozpuszczalne wymywane są z produktu wodą na gorąco, a szczawiany ogółem roztworem kwasu solnego.</w:t>
      </w:r>
      <w:r w:rsidR="00F21BA8" w:rsidRPr="00C60466">
        <w:t xml:space="preserve"> </w:t>
      </w:r>
      <w:r w:rsidRPr="00C60466">
        <w:t>Oznaczenie polega na:</w:t>
      </w:r>
    </w:p>
    <w:p w:rsidR="00C60466" w:rsidRPr="00C60466" w:rsidRDefault="00C60466" w:rsidP="003D24C2">
      <w:pPr>
        <w:spacing w:line="360" w:lineRule="auto"/>
        <w:jc w:val="both"/>
      </w:pPr>
    </w:p>
    <w:p w:rsidR="00C60466" w:rsidRDefault="000A2ABA" w:rsidP="003D24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466">
        <w:rPr>
          <w:rFonts w:ascii="Times New Roman" w:hAnsi="Times New Roman"/>
          <w:sz w:val="24"/>
          <w:szCs w:val="24"/>
        </w:rPr>
        <w:t>Wytrąceniu nierozpuszczalnego szczawianu wapnia w postaci osadu buforowym 5% roztworem CaCl</w:t>
      </w:r>
      <w:r w:rsidRPr="00C60466">
        <w:rPr>
          <w:rFonts w:ascii="Times New Roman" w:hAnsi="Times New Roman"/>
          <w:sz w:val="24"/>
          <w:szCs w:val="24"/>
          <w:vertAlign w:val="subscript"/>
        </w:rPr>
        <w:t>2</w:t>
      </w:r>
      <w:r w:rsidRPr="00C60466">
        <w:rPr>
          <w:rFonts w:ascii="Times New Roman" w:hAnsi="Times New Roman"/>
          <w:sz w:val="24"/>
          <w:szCs w:val="24"/>
        </w:rPr>
        <w:t>:</w:t>
      </w:r>
    </w:p>
    <w:p w:rsidR="000A2ABA" w:rsidRPr="00C60466" w:rsidRDefault="002D4D84" w:rsidP="003D24C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0.9pt;margin-top:5.5pt;width:30.75pt;height:0;z-index:251658240" o:connectortype="straight">
            <v:stroke endarrow="block"/>
          </v:shape>
        </w:pict>
      </w:r>
      <w:r w:rsidR="000A2ABA" w:rsidRPr="00C60466">
        <w:rPr>
          <w:rFonts w:ascii="Times New Roman" w:hAnsi="Times New Roman"/>
          <w:sz w:val="24"/>
          <w:szCs w:val="24"/>
          <w:lang w:val="en-US"/>
        </w:rPr>
        <w:t>(COOH)</w:t>
      </w:r>
      <w:r w:rsidR="000A2ABA" w:rsidRPr="00C604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A2ABA" w:rsidRPr="00C60466">
        <w:rPr>
          <w:rFonts w:ascii="Times New Roman" w:hAnsi="Times New Roman"/>
          <w:sz w:val="24"/>
          <w:szCs w:val="24"/>
          <w:lang w:val="en-US"/>
        </w:rPr>
        <w:t xml:space="preserve"> + CaCl</w:t>
      </w:r>
      <w:r w:rsidR="000A2ABA" w:rsidRPr="00C604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21BA8" w:rsidRPr="00C604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2375" w:rsidRPr="00C60466">
        <w:rPr>
          <w:rFonts w:ascii="Times New Roman" w:hAnsi="Times New Roman"/>
          <w:sz w:val="24"/>
          <w:szCs w:val="24"/>
          <w:lang w:val="en-US"/>
        </w:rPr>
        <w:tab/>
      </w:r>
      <w:r w:rsidR="00C60466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962375" w:rsidRPr="00C60466">
        <w:rPr>
          <w:rFonts w:ascii="Times New Roman" w:hAnsi="Times New Roman"/>
          <w:sz w:val="24"/>
          <w:szCs w:val="24"/>
          <w:lang w:val="en-US"/>
        </w:rPr>
        <w:t>(C</w:t>
      </w:r>
      <w:r w:rsidR="000F54F2" w:rsidRPr="00C60466">
        <w:rPr>
          <w:rFonts w:ascii="Times New Roman" w:hAnsi="Times New Roman"/>
          <w:sz w:val="24"/>
          <w:szCs w:val="24"/>
          <w:lang w:val="en-US"/>
        </w:rPr>
        <w:t>OO)</w:t>
      </w:r>
      <w:r w:rsidR="000F54F2" w:rsidRPr="00C604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E6C69">
        <w:rPr>
          <w:rFonts w:ascii="Times New Roman" w:hAnsi="Times New Roman"/>
          <w:sz w:val="24"/>
          <w:szCs w:val="24"/>
          <w:lang w:val="en-US"/>
        </w:rPr>
        <w:t>Ca + 2 HCl</w:t>
      </w:r>
    </w:p>
    <w:p w:rsidR="000F54F2" w:rsidRPr="00C60466" w:rsidRDefault="000F54F2" w:rsidP="003D24C2">
      <w:pPr>
        <w:pStyle w:val="Akapitzlist"/>
        <w:numPr>
          <w:ilvl w:val="0"/>
          <w:numId w:val="5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466">
        <w:rPr>
          <w:rFonts w:ascii="Times New Roman" w:hAnsi="Times New Roman"/>
          <w:sz w:val="24"/>
          <w:szCs w:val="24"/>
        </w:rPr>
        <w:t>Rozpuszczeniu na gorąco szczawianu wapnia w 10% roztworze kwasu si</w:t>
      </w:r>
      <w:r w:rsidR="00EB5E73" w:rsidRPr="00C60466">
        <w:rPr>
          <w:rFonts w:ascii="Times New Roman" w:hAnsi="Times New Roman"/>
          <w:sz w:val="24"/>
          <w:szCs w:val="24"/>
        </w:rPr>
        <w:t>a</w:t>
      </w:r>
      <w:r w:rsidRPr="00C60466">
        <w:rPr>
          <w:rFonts w:ascii="Times New Roman" w:hAnsi="Times New Roman"/>
          <w:sz w:val="24"/>
          <w:szCs w:val="24"/>
        </w:rPr>
        <w:t>rkowego:</w:t>
      </w:r>
    </w:p>
    <w:p w:rsidR="000F54F2" w:rsidRPr="008528B8" w:rsidRDefault="002D4D84" w:rsidP="003D24C2">
      <w:pPr>
        <w:pStyle w:val="Akapitzlist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136.9pt;margin-top:5.75pt;width:28.5pt;height:0;z-index:251659264" o:connectortype="straight">
            <v:stroke endarrow="block"/>
          </v:shape>
        </w:pic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(COO)</w:t>
      </w:r>
      <w:r w:rsidR="000F54F2" w:rsidRPr="008528B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Ca + H</w:t>
      </w:r>
      <w:r w:rsidR="000F54F2" w:rsidRPr="008528B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SO</w:t>
      </w:r>
      <w:r w:rsidR="000F54F2" w:rsidRPr="008528B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528B8" w:rsidRPr="008528B8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(COO</w:t>
      </w:r>
      <w:r w:rsidR="004515A3">
        <w:rPr>
          <w:rFonts w:ascii="Times New Roman" w:hAnsi="Times New Roman"/>
          <w:sz w:val="24"/>
          <w:szCs w:val="24"/>
          <w:lang w:val="en-US"/>
        </w:rPr>
        <w:t>H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)</w:t>
      </w:r>
      <w:r w:rsidR="000F54F2" w:rsidRPr="008528B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0F54F2" w:rsidRPr="008528B8">
        <w:rPr>
          <w:rFonts w:ascii="Times New Roman" w:hAnsi="Times New Roman"/>
          <w:sz w:val="24"/>
          <w:szCs w:val="24"/>
          <w:lang w:val="en-US"/>
        </w:rPr>
        <w:t>+ CaSO</w:t>
      </w:r>
      <w:r w:rsidR="00EB5E73" w:rsidRPr="008528B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C60466" w:rsidRPr="00C60466" w:rsidRDefault="00EB5E73" w:rsidP="003D24C2">
      <w:pPr>
        <w:pStyle w:val="Akapitzlist"/>
        <w:numPr>
          <w:ilvl w:val="0"/>
          <w:numId w:val="5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466">
        <w:rPr>
          <w:rFonts w:ascii="Times New Roman" w:hAnsi="Times New Roman"/>
          <w:sz w:val="24"/>
          <w:szCs w:val="24"/>
        </w:rPr>
        <w:t>Miareczkowaniu na gorąco  0,02 N KMnO</w:t>
      </w:r>
      <w:r w:rsidRPr="00C60466">
        <w:rPr>
          <w:rFonts w:ascii="Times New Roman" w:hAnsi="Times New Roman"/>
          <w:sz w:val="24"/>
          <w:szCs w:val="24"/>
          <w:vertAlign w:val="subscript"/>
        </w:rPr>
        <w:t>4</w:t>
      </w:r>
    </w:p>
    <w:p w:rsidR="00EB5E73" w:rsidRPr="00420F99" w:rsidRDefault="002D4D84" w:rsidP="003D24C2">
      <w:pPr>
        <w:pStyle w:val="Akapitzlist"/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pl-PL"/>
        </w:rPr>
        <w:pict>
          <v:shape id="_x0000_s1030" type="#_x0000_t32" style="position:absolute;left:0;text-align:left;margin-left:208.9pt;margin-top:6.35pt;width:26.25pt;height:.75pt;flip:y;z-index:251660288" o:connectortype="straight">
            <v:stroke endarrow="block"/>
          </v:shape>
        </w:pict>
      </w:r>
      <w:r w:rsidR="00EB5E73" w:rsidRPr="00C60466">
        <w:rPr>
          <w:rFonts w:ascii="Times New Roman" w:hAnsi="Times New Roman"/>
          <w:sz w:val="24"/>
          <w:szCs w:val="24"/>
          <w:lang w:val="en-US"/>
        </w:rPr>
        <w:t>2 KMnO</w:t>
      </w:r>
      <w:r w:rsidR="00EB5E73" w:rsidRPr="00C6046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B5E73" w:rsidRPr="00C60466">
        <w:rPr>
          <w:rFonts w:ascii="Times New Roman" w:hAnsi="Times New Roman"/>
          <w:sz w:val="24"/>
          <w:szCs w:val="24"/>
          <w:lang w:val="en-US"/>
        </w:rPr>
        <w:t xml:space="preserve"> + 5 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(COO</w:t>
      </w:r>
      <w:r w:rsidR="004515A3">
        <w:rPr>
          <w:rFonts w:ascii="Times New Roman" w:hAnsi="Times New Roman"/>
          <w:sz w:val="24"/>
          <w:szCs w:val="24"/>
          <w:lang w:val="en-US"/>
        </w:rPr>
        <w:t>H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)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 xml:space="preserve"> + 3 H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SO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420F9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420F99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 xml:space="preserve"> 2 MnSO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 xml:space="preserve"> + K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SO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 xml:space="preserve"> + 10 CO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+ 8 H</w:t>
      </w:r>
      <w:r w:rsidR="00EB5E73" w:rsidRPr="00420F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B5E73" w:rsidRPr="00420F99">
        <w:rPr>
          <w:rFonts w:ascii="Times New Roman" w:hAnsi="Times New Roman"/>
          <w:sz w:val="24"/>
          <w:szCs w:val="24"/>
          <w:lang w:val="en-US"/>
        </w:rPr>
        <w:t>O</w:t>
      </w:r>
    </w:p>
    <w:p w:rsidR="00C60466" w:rsidRPr="00420F99" w:rsidRDefault="00C60466" w:rsidP="003D24C2">
      <w:pPr>
        <w:tabs>
          <w:tab w:val="left" w:pos="2760"/>
        </w:tabs>
        <w:spacing w:line="360" w:lineRule="auto"/>
        <w:jc w:val="both"/>
        <w:rPr>
          <w:b/>
        </w:rPr>
      </w:pPr>
      <w:r w:rsidRPr="00420F99">
        <w:rPr>
          <w:b/>
        </w:rPr>
        <w:t>Wykonanie oznaczenia:</w:t>
      </w:r>
    </w:p>
    <w:p w:rsidR="008528B8" w:rsidRDefault="00C60466" w:rsidP="003D24C2">
      <w:pPr>
        <w:tabs>
          <w:tab w:val="left" w:pos="2760"/>
        </w:tabs>
        <w:spacing w:line="360" w:lineRule="auto"/>
        <w:jc w:val="both"/>
      </w:pPr>
      <w:r w:rsidRPr="00C60466">
        <w:t>O</w:t>
      </w:r>
      <w:r w:rsidR="008528B8">
        <w:t>d</w:t>
      </w:r>
      <w:r w:rsidRPr="00C60466">
        <w:t>ważyć na wadze tec</w:t>
      </w:r>
      <w:r w:rsidR="00433E93">
        <w:t>hnicznej 3 g kawy, herbaty lub k</w:t>
      </w:r>
      <w:r w:rsidRPr="00C60466">
        <w:t xml:space="preserve">akao. </w:t>
      </w:r>
      <w:r w:rsidR="008528B8">
        <w:t>Zalać</w:t>
      </w:r>
      <w:r>
        <w:t xml:space="preserve"> </w:t>
      </w:r>
      <w:r w:rsidR="00132C61">
        <w:t>50</w:t>
      </w:r>
      <w:r>
        <w:t xml:space="preserve"> </w:t>
      </w:r>
      <w:r w:rsidR="004515A3">
        <w:t>ml</w:t>
      </w:r>
      <w:r>
        <w:t xml:space="preserve"> wrzącej destylowanej wody</w:t>
      </w:r>
      <w:r w:rsidR="008528B8">
        <w:t>. Odczekać 5 min. Następnie napar przesączyć</w:t>
      </w:r>
      <w:r>
        <w:t xml:space="preserve">, 3 </w:t>
      </w:r>
      <w:r w:rsidR="004515A3">
        <w:t>ml</w:t>
      </w:r>
      <w:r>
        <w:t xml:space="preserve"> naparu przenieść do probówki wirówkowej o poj. 10 </w:t>
      </w:r>
      <w:r w:rsidR="004515A3">
        <w:t>ml</w:t>
      </w:r>
      <w:r>
        <w:t xml:space="preserve">. Dodać 1,75 </w:t>
      </w:r>
      <w:r w:rsidR="004515A3">
        <w:t>ml</w:t>
      </w:r>
      <w:r>
        <w:t xml:space="preserve"> 5% roztworu CaCl</w:t>
      </w:r>
      <w:r>
        <w:rPr>
          <w:vertAlign w:val="subscript"/>
        </w:rPr>
        <w:t xml:space="preserve">2 </w:t>
      </w:r>
      <w:r>
        <w:t xml:space="preserve"> i 1,75 </w:t>
      </w:r>
      <w:r w:rsidR="004515A3">
        <w:t>ml</w:t>
      </w:r>
      <w:r>
        <w:t xml:space="preserve"> acetonu</w:t>
      </w:r>
      <w:r w:rsidR="008528B8">
        <w:t>, wymieszać. Wstawić</w:t>
      </w:r>
      <w:r>
        <w:t xml:space="preserve"> do lodówki na 30 min. Powstały osad szczawianu wapnia odwirować w wirówce przy 3000obr./min. przez 10 min.</w:t>
      </w:r>
      <w:r w:rsidR="008528B8">
        <w:t xml:space="preserve"> </w:t>
      </w:r>
      <w:r>
        <w:t xml:space="preserve">Płyn znad osadu wylać, a osad przenieść ilościowo do kolby stożkowej poj. </w:t>
      </w:r>
      <w:r w:rsidR="00CE6C69">
        <w:t>50</w:t>
      </w:r>
      <w:r>
        <w:t xml:space="preserve"> </w:t>
      </w:r>
      <w:r w:rsidR="004515A3">
        <w:t>ml</w:t>
      </w:r>
      <w:r>
        <w:t xml:space="preserve"> za po</w:t>
      </w:r>
      <w:r w:rsidR="008528B8">
        <w:t>mocą</w:t>
      </w:r>
      <w:r>
        <w:t xml:space="preserve"> 5 </w:t>
      </w:r>
      <w:r w:rsidR="004515A3">
        <w:t>ml</w:t>
      </w:r>
      <w:r>
        <w:t xml:space="preserve"> </w:t>
      </w:r>
      <w:r w:rsidR="008528B8">
        <w:t>10% kwasu siarkowego i rozpuścić</w:t>
      </w:r>
      <w:r>
        <w:t xml:space="preserve"> na gorąco w łaźni wodnej. </w:t>
      </w:r>
      <w:r w:rsidR="00433E93">
        <w:t>Miareczkować natychmiast</w:t>
      </w:r>
      <w:r w:rsidR="004F7CDA">
        <w:t xml:space="preserve"> </w:t>
      </w:r>
      <w:r w:rsidR="00CE6C69">
        <w:t>(na gorąco)</w:t>
      </w:r>
      <w:r w:rsidR="00433E93">
        <w:t xml:space="preserve"> 0,02 </w:t>
      </w:r>
      <w:r w:rsidR="004F7CDA">
        <w:t>N roztworem n</w:t>
      </w:r>
      <w:r w:rsidR="008528B8">
        <w:t>admanganianu potasowego</w:t>
      </w:r>
      <w:r w:rsidR="00433E93">
        <w:t xml:space="preserve"> do uzyskania różowej barwy, utrzymującej się ok. 1 min.</w:t>
      </w:r>
    </w:p>
    <w:p w:rsidR="00C60466" w:rsidRDefault="00433E93" w:rsidP="003D24C2">
      <w:pPr>
        <w:tabs>
          <w:tab w:val="left" w:pos="2760"/>
        </w:tabs>
        <w:spacing w:line="360" w:lineRule="auto"/>
        <w:jc w:val="both"/>
      </w:pPr>
      <w:r>
        <w:t xml:space="preserve"> </w:t>
      </w:r>
      <w:r w:rsidR="004515A3">
        <w:t xml:space="preserve"> </w:t>
      </w:r>
    </w:p>
    <w:p w:rsidR="008528B8" w:rsidRPr="005A0C28" w:rsidRDefault="005A0C28" w:rsidP="003D24C2">
      <w:pPr>
        <w:tabs>
          <w:tab w:val="left" w:pos="2760"/>
        </w:tabs>
        <w:spacing w:line="360" w:lineRule="auto"/>
        <w:jc w:val="both"/>
      </w:pPr>
      <w:r w:rsidRPr="005A0C28">
        <w:t>Na podstawie uzyskanych wyników:</w:t>
      </w:r>
    </w:p>
    <w:p w:rsidR="005A0C28" w:rsidRPr="005A0C28" w:rsidRDefault="005A0C28" w:rsidP="003D24C2">
      <w:pPr>
        <w:pStyle w:val="Akapitzlist"/>
        <w:numPr>
          <w:ilvl w:val="0"/>
          <w:numId w:val="7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C28">
        <w:rPr>
          <w:rFonts w:ascii="Times New Roman" w:hAnsi="Times New Roman"/>
          <w:sz w:val="24"/>
          <w:szCs w:val="24"/>
        </w:rPr>
        <w:t>Obliczyć ilość rozpuszczalnego kwasu szczawiowego w 100</w:t>
      </w:r>
      <w:r w:rsidR="004515A3">
        <w:rPr>
          <w:rFonts w:ascii="Times New Roman" w:hAnsi="Times New Roman"/>
          <w:sz w:val="24"/>
          <w:szCs w:val="24"/>
        </w:rPr>
        <w:t xml:space="preserve"> </w:t>
      </w:r>
      <w:r w:rsidRPr="005A0C28">
        <w:rPr>
          <w:rFonts w:ascii="Times New Roman" w:hAnsi="Times New Roman"/>
          <w:sz w:val="24"/>
          <w:szCs w:val="24"/>
        </w:rPr>
        <w:t xml:space="preserve">g produktu przyjmując, że 1 </w:t>
      </w:r>
      <w:r w:rsidR="004515A3">
        <w:rPr>
          <w:rFonts w:ascii="Times New Roman" w:hAnsi="Times New Roman"/>
          <w:sz w:val="24"/>
          <w:szCs w:val="24"/>
        </w:rPr>
        <w:t>ml</w:t>
      </w:r>
      <w:r w:rsidR="001740B8">
        <w:rPr>
          <w:rFonts w:ascii="Times New Roman" w:hAnsi="Times New Roman"/>
          <w:sz w:val="24"/>
          <w:szCs w:val="24"/>
        </w:rPr>
        <w:t xml:space="preserve"> 0,02 N KMn</w:t>
      </w:r>
      <w:r w:rsidRPr="005A0C28">
        <w:rPr>
          <w:rFonts w:ascii="Times New Roman" w:hAnsi="Times New Roman"/>
          <w:sz w:val="24"/>
          <w:szCs w:val="24"/>
        </w:rPr>
        <w:t>O</w:t>
      </w:r>
      <w:r w:rsidRPr="005A0C28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5A0C28">
        <w:rPr>
          <w:rFonts w:ascii="Times New Roman" w:hAnsi="Times New Roman"/>
          <w:sz w:val="24"/>
          <w:szCs w:val="24"/>
        </w:rPr>
        <w:t>odpowiada 0,9 mg (COOH)</w:t>
      </w:r>
      <w:r w:rsidRPr="005A0C28">
        <w:rPr>
          <w:rFonts w:ascii="Times New Roman" w:hAnsi="Times New Roman"/>
          <w:sz w:val="24"/>
          <w:szCs w:val="24"/>
          <w:vertAlign w:val="subscript"/>
        </w:rPr>
        <w:t>2</w:t>
      </w:r>
    </w:p>
    <w:p w:rsidR="005A0C28" w:rsidRPr="005A0C28" w:rsidRDefault="005A0C28" w:rsidP="003D24C2">
      <w:pPr>
        <w:pStyle w:val="Akapitzlist"/>
        <w:numPr>
          <w:ilvl w:val="0"/>
          <w:numId w:val="7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C28">
        <w:rPr>
          <w:rFonts w:ascii="Times New Roman" w:hAnsi="Times New Roman"/>
          <w:sz w:val="24"/>
          <w:szCs w:val="24"/>
        </w:rPr>
        <w:t>Podać jaka ilość wapnia jest wiązana przez kwas szczawiowy zawarty w naparze przygotowanym z 3 g badanego produktu, przyjmując, że 90 mg kwasu szczawiowego wiąże 40 mg wapnia.</w:t>
      </w:r>
    </w:p>
    <w:p w:rsidR="005A0C28" w:rsidRPr="005A0C28" w:rsidRDefault="004F7CDA" w:rsidP="003D24C2">
      <w:pPr>
        <w:pStyle w:val="Akapitzlist"/>
        <w:numPr>
          <w:ilvl w:val="0"/>
          <w:numId w:val="7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Podać</w:t>
      </w:r>
      <w:r w:rsidR="005A0C28" w:rsidRPr="005A0C28">
        <w:rPr>
          <w:rFonts w:ascii="Times New Roman" w:hAnsi="Times New Roman"/>
          <w:sz w:val="24"/>
          <w:szCs w:val="24"/>
        </w:rPr>
        <w:t>, ile mleka należy dodać do naparu sporządzonego z 3 g produktu, aby wapń zawarty w mleku związał rozpuszcz</w:t>
      </w:r>
      <w:r>
        <w:rPr>
          <w:rFonts w:ascii="Times New Roman" w:hAnsi="Times New Roman"/>
          <w:sz w:val="24"/>
          <w:szCs w:val="24"/>
        </w:rPr>
        <w:t>alny kwas szczawiowy z naparu (</w:t>
      </w:r>
      <w:r w:rsidR="005A0C28" w:rsidRPr="005A0C28">
        <w:rPr>
          <w:rFonts w:ascii="Times New Roman" w:hAnsi="Times New Roman"/>
          <w:sz w:val="24"/>
          <w:szCs w:val="24"/>
        </w:rPr>
        <w:t>100</w:t>
      </w:r>
      <w:r w:rsidR="004515A3">
        <w:rPr>
          <w:rFonts w:ascii="Times New Roman" w:hAnsi="Times New Roman"/>
          <w:sz w:val="24"/>
          <w:szCs w:val="24"/>
        </w:rPr>
        <w:t xml:space="preserve"> </w:t>
      </w:r>
      <w:r w:rsidR="005A0C28" w:rsidRPr="005A0C28">
        <w:rPr>
          <w:rFonts w:ascii="Times New Roman" w:hAnsi="Times New Roman"/>
          <w:sz w:val="24"/>
          <w:szCs w:val="24"/>
        </w:rPr>
        <w:t>g mleka zawiera 120 mg wapnia).</w:t>
      </w:r>
    </w:p>
    <w:p w:rsidR="003D24C2" w:rsidRPr="004F7CDA" w:rsidRDefault="004F7CDA" w:rsidP="004F7CDA">
      <w:pPr>
        <w:pStyle w:val="Akapitzlist"/>
        <w:numPr>
          <w:ilvl w:val="0"/>
          <w:numId w:val="7"/>
        </w:numPr>
        <w:tabs>
          <w:tab w:val="left" w:pos="2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Zaproponować </w:t>
      </w:r>
      <w:r w:rsidR="005A0C28" w:rsidRPr="005A0C28">
        <w:rPr>
          <w:rFonts w:ascii="Times New Roman" w:hAnsi="Times New Roman"/>
          <w:sz w:val="24"/>
          <w:szCs w:val="24"/>
        </w:rPr>
        <w:t>sposoby zmniejszania antyodżywczego działania kwasu szczawiowego.</w:t>
      </w:r>
    </w:p>
    <w:p w:rsidR="005A0C28" w:rsidRPr="00A520E9" w:rsidRDefault="005A0C28" w:rsidP="00A520E9">
      <w:pPr>
        <w:pStyle w:val="Akapitzlist"/>
        <w:tabs>
          <w:tab w:val="left" w:pos="2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przedstawić w tabeli: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890"/>
        <w:gridCol w:w="2867"/>
      </w:tblGrid>
      <w:tr w:rsidR="005A0C28" w:rsidTr="005A0C28">
        <w:tc>
          <w:tcPr>
            <w:tcW w:w="3070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Produkt</w:t>
            </w:r>
          </w:p>
        </w:tc>
        <w:tc>
          <w:tcPr>
            <w:tcW w:w="3071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kwasu szczawiowego [mg/100g]</w:t>
            </w:r>
          </w:p>
        </w:tc>
        <w:tc>
          <w:tcPr>
            <w:tcW w:w="3071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wapnia wiązanego przez kwas szczawiowy w naparze otrzymanym z 3 g produktu</w:t>
            </w:r>
          </w:p>
        </w:tc>
      </w:tr>
      <w:tr w:rsidR="005A0C28" w:rsidTr="005A0C28">
        <w:tc>
          <w:tcPr>
            <w:tcW w:w="3070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A0C28" w:rsidRDefault="005A0C28" w:rsidP="005A0C28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AF4" w:rsidRDefault="00064AF4" w:rsidP="00064AF4">
      <w:pPr>
        <w:tabs>
          <w:tab w:val="left" w:pos="2760"/>
        </w:tabs>
      </w:pPr>
    </w:p>
    <w:p w:rsidR="00064AF4" w:rsidRDefault="00064AF4" w:rsidP="00064AF4">
      <w:pPr>
        <w:tabs>
          <w:tab w:val="left" w:pos="2760"/>
        </w:tabs>
      </w:pPr>
    </w:p>
    <w:p w:rsidR="00064AF4" w:rsidRPr="001740B8" w:rsidRDefault="00064AF4" w:rsidP="001740B8">
      <w:pPr>
        <w:pStyle w:val="Akapitzlist"/>
        <w:numPr>
          <w:ilvl w:val="1"/>
          <w:numId w:val="3"/>
        </w:numPr>
        <w:tabs>
          <w:tab w:val="left" w:pos="27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40B8">
        <w:rPr>
          <w:rFonts w:ascii="Times New Roman" w:hAnsi="Times New Roman"/>
          <w:b/>
          <w:sz w:val="24"/>
          <w:szCs w:val="24"/>
        </w:rPr>
        <w:t>Oznaczanie zawartości tiocyjanianów w warzywach kapustnych surowych i po obróbce kulinarnej</w:t>
      </w:r>
    </w:p>
    <w:p w:rsidR="00064AF4" w:rsidRPr="00FF419B" w:rsidRDefault="00A520E9" w:rsidP="00746F4D">
      <w:pPr>
        <w:tabs>
          <w:tab w:val="left" w:pos="2760"/>
        </w:tabs>
        <w:spacing w:line="360" w:lineRule="auto"/>
        <w:ind w:firstLine="737"/>
        <w:jc w:val="both"/>
      </w:pPr>
      <w:r w:rsidRPr="00FF419B">
        <w:t xml:space="preserve">Celem ćwiczenia jest oznaczanie zawartości tiocyjanianów w  wybranych warzywach oraz </w:t>
      </w:r>
      <w:r w:rsidR="001C0556" w:rsidRPr="00FF419B">
        <w:t xml:space="preserve">ocena </w:t>
      </w:r>
      <w:r w:rsidRPr="00FF419B">
        <w:t>wpływu ogrzewania w środowis</w:t>
      </w:r>
      <w:r w:rsidR="001915EE">
        <w:t xml:space="preserve">ku wodnym (gotowanie) na ilość </w:t>
      </w:r>
      <w:r w:rsidRPr="00FF419B">
        <w:t>tych związków w badanych produktach.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  <w:rPr>
          <w:b/>
        </w:rPr>
      </w:pPr>
      <w:r w:rsidRPr="00FF419B">
        <w:rPr>
          <w:b/>
        </w:rPr>
        <w:t>Materiał do ćwiczeń: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</w:pPr>
      <w:r w:rsidRPr="00FF419B">
        <w:t>Kapusta biała, kapusta włoska, kalafior, brukselka, brokuł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  <w:rPr>
          <w:b/>
        </w:rPr>
      </w:pPr>
      <w:r w:rsidRPr="00FF419B">
        <w:rPr>
          <w:b/>
        </w:rPr>
        <w:t xml:space="preserve">Odczynniki 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</w:pPr>
      <w:r w:rsidRPr="00FF419B">
        <w:t>5% roztwór k</w:t>
      </w:r>
      <w:r w:rsidR="00796BB8" w:rsidRPr="00FF419B">
        <w:t>w</w:t>
      </w:r>
      <w:r w:rsidRPr="00FF419B">
        <w:t>asu trichlorooctowego (TCA),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</w:pPr>
      <w:r w:rsidRPr="00FF419B">
        <w:t>Azotan żelazowy (80 g Fe(NO</w:t>
      </w:r>
      <w:r w:rsidRPr="00FF419B">
        <w:rPr>
          <w:vertAlign w:val="subscript"/>
        </w:rPr>
        <w:t>3</w:t>
      </w:r>
      <w:r w:rsidRPr="00FF419B">
        <w:t>)</w:t>
      </w:r>
      <w:r w:rsidRPr="00FF419B">
        <w:rPr>
          <w:vertAlign w:val="subscript"/>
        </w:rPr>
        <w:t>3</w:t>
      </w:r>
      <w:r w:rsidR="001C0556" w:rsidRPr="00FF419B">
        <w:t xml:space="preserve"> x</w:t>
      </w:r>
      <w:r w:rsidRPr="00FF419B">
        <w:t xml:space="preserve"> 9 H</w:t>
      </w:r>
      <w:r w:rsidRPr="00FF419B">
        <w:rPr>
          <w:vertAlign w:val="subscript"/>
        </w:rPr>
        <w:t>2</w:t>
      </w:r>
      <w:r w:rsidRPr="00FF419B">
        <w:t xml:space="preserve">O rozpuścić w 250 g </w:t>
      </w:r>
      <w:r w:rsidR="00A672FF">
        <w:t>2</w:t>
      </w:r>
      <w:r w:rsidR="00B51334">
        <w:t xml:space="preserve"> </w:t>
      </w:r>
      <w:r w:rsidR="00A672FF">
        <w:t xml:space="preserve">N </w:t>
      </w:r>
      <w:r w:rsidRPr="00FF419B">
        <w:t>HNO</w:t>
      </w:r>
      <w:r w:rsidRPr="00FF419B">
        <w:rPr>
          <w:vertAlign w:val="subscript"/>
        </w:rPr>
        <w:t>3</w:t>
      </w:r>
      <w:r w:rsidR="00946918" w:rsidRPr="00FF419B">
        <w:t xml:space="preserve"> i uzupełnić</w:t>
      </w:r>
      <w:r w:rsidRPr="00FF419B">
        <w:t xml:space="preserve"> do 500 </w:t>
      </w:r>
      <w:r w:rsidR="00A672FF">
        <w:t>ml</w:t>
      </w:r>
      <w:r w:rsidR="00946918" w:rsidRPr="00FF419B">
        <w:t>)</w:t>
      </w:r>
    </w:p>
    <w:p w:rsidR="00A520E9" w:rsidRPr="00FF419B" w:rsidRDefault="00A520E9" w:rsidP="00FF419B">
      <w:pPr>
        <w:tabs>
          <w:tab w:val="left" w:pos="2760"/>
        </w:tabs>
        <w:spacing w:line="360" w:lineRule="auto"/>
        <w:jc w:val="both"/>
        <w:rPr>
          <w:b/>
        </w:rPr>
      </w:pPr>
      <w:r w:rsidRPr="00FF419B">
        <w:rPr>
          <w:b/>
        </w:rPr>
        <w:t>Sprzęt</w:t>
      </w:r>
    </w:p>
    <w:p w:rsidR="00946918" w:rsidRPr="00FF419B" w:rsidRDefault="0005775D" w:rsidP="00FF419B">
      <w:pPr>
        <w:tabs>
          <w:tab w:val="left" w:pos="2760"/>
        </w:tabs>
        <w:spacing w:line="360" w:lineRule="auto"/>
        <w:jc w:val="both"/>
      </w:pPr>
      <w:r>
        <w:t>Zlewki poj. 50</w:t>
      </w:r>
      <w:r w:rsidR="00946918" w:rsidRPr="00FF419B">
        <w:t xml:space="preserve"> </w:t>
      </w:r>
      <w:r w:rsidR="00A672FF">
        <w:t>ml</w:t>
      </w:r>
      <w:r w:rsidR="00946918"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 xml:space="preserve">Cylindry miarowe poj. </w:t>
      </w:r>
      <w:r w:rsidR="0005775D">
        <w:t>10</w:t>
      </w:r>
      <w:r w:rsidRPr="00FF419B">
        <w:t xml:space="preserve"> </w:t>
      </w:r>
      <w:r w:rsidR="00A672FF">
        <w:t>ml</w:t>
      </w:r>
      <w:r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 xml:space="preserve">Pipety poj. 2 </w:t>
      </w:r>
      <w:r w:rsidR="00A672FF">
        <w:t>ml</w:t>
      </w:r>
      <w:r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Bagietki szklane</w:t>
      </w:r>
      <w:r w:rsidR="00DD5331"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Lejki</w:t>
      </w:r>
      <w:r w:rsidR="0005775D">
        <w:t xml:space="preserve"> szklane,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Sączki bibułowe</w:t>
      </w:r>
      <w:r w:rsidR="0005775D">
        <w:t xml:space="preserve"> twarde</w:t>
      </w:r>
      <w:r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Probówki poj</w:t>
      </w:r>
      <w:r w:rsidR="00796BB8" w:rsidRPr="00FF419B">
        <w:t>.</w:t>
      </w:r>
      <w:r w:rsidRPr="00FF419B">
        <w:t xml:space="preserve"> 10 </w:t>
      </w:r>
      <w:r w:rsidR="00A672FF">
        <w:t>ml</w:t>
      </w:r>
      <w:r w:rsidR="0000563C" w:rsidRPr="00FF419B">
        <w:t>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Ł</w:t>
      </w:r>
      <w:r w:rsidR="00796BB8" w:rsidRPr="00FF419B">
        <w:t>aź</w:t>
      </w:r>
      <w:r w:rsidRPr="00FF419B">
        <w:t>nia wodna,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</w:pPr>
      <w:r w:rsidRPr="00FF419B">
        <w:t>Spektrofotometr</w:t>
      </w:r>
    </w:p>
    <w:p w:rsidR="00946918" w:rsidRPr="00FF419B" w:rsidRDefault="00946918" w:rsidP="00FF419B">
      <w:pPr>
        <w:tabs>
          <w:tab w:val="left" w:pos="2760"/>
        </w:tabs>
        <w:spacing w:line="360" w:lineRule="auto"/>
        <w:jc w:val="both"/>
        <w:rPr>
          <w:b/>
        </w:rPr>
      </w:pPr>
      <w:r w:rsidRPr="00FF419B">
        <w:rPr>
          <w:b/>
        </w:rPr>
        <w:t>Zasada metody</w:t>
      </w:r>
    </w:p>
    <w:p w:rsidR="00946918" w:rsidRPr="00FF419B" w:rsidRDefault="00E627B2" w:rsidP="00746F4D">
      <w:pPr>
        <w:tabs>
          <w:tab w:val="left" w:pos="2760"/>
        </w:tabs>
        <w:spacing w:line="360" w:lineRule="auto"/>
        <w:ind w:firstLine="737"/>
        <w:jc w:val="both"/>
        <w:rPr>
          <w:vertAlign w:val="superscript"/>
        </w:rPr>
      </w:pPr>
      <w:r w:rsidRPr="00FF419B">
        <w:t xml:space="preserve">Polega na wyekstrahowaniu tiocyjanianów z badanej próby kwasem trichlorooctowym (TCA) i przeprowadzeniu reakcji z jonami żelazowymi. W środowisku kwaśnym powstaje krwistoczerwone zabarwienie w wyniku tworzenia się kompleksów </w:t>
      </w:r>
      <w:r w:rsidR="00C721B4">
        <w:t xml:space="preserve">żelazowo-rodankowych: </w:t>
      </w:r>
    </w:p>
    <w:p w:rsidR="00697AB8" w:rsidRDefault="002D4D84" w:rsidP="00FF419B">
      <w:pPr>
        <w:tabs>
          <w:tab w:val="left" w:pos="2760"/>
        </w:tabs>
        <w:spacing w:line="360" w:lineRule="auto"/>
        <w:jc w:val="both"/>
        <w:rPr>
          <w:vertAlign w:val="superscript"/>
          <w:lang w:val="en-US"/>
        </w:rPr>
      </w:pPr>
      <w:r>
        <w:rPr>
          <w:noProof/>
        </w:rPr>
        <w:pict>
          <v:shape id="_x0000_s1031" type="#_x0000_t32" style="position:absolute;left:0;text-align:left;margin-left:68.35pt;margin-top:5.8pt;width:28.5pt;height:.75pt;z-index:251661312" o:connectortype="straight">
            <v:stroke endarrow="block"/>
          </v:shape>
        </w:pict>
      </w:r>
      <w:r w:rsidR="00E627B2" w:rsidRPr="00FF419B">
        <w:rPr>
          <w:lang w:val="en-US"/>
        </w:rPr>
        <w:t>Fe</w:t>
      </w:r>
      <w:r w:rsidR="00E627B2" w:rsidRPr="00FF419B">
        <w:rPr>
          <w:vertAlign w:val="superscript"/>
          <w:lang w:val="en-US"/>
        </w:rPr>
        <w:t>3+</w:t>
      </w:r>
      <w:r w:rsidR="00E627B2" w:rsidRPr="00FF419B">
        <w:rPr>
          <w:lang w:val="en-US"/>
        </w:rPr>
        <w:t xml:space="preserve"> + SCN</w:t>
      </w:r>
      <w:r w:rsidR="00D84798">
        <w:rPr>
          <w:vertAlign w:val="superscript"/>
          <w:lang w:val="en-US"/>
        </w:rPr>
        <w:t>ˉ</w:t>
      </w:r>
      <w:r w:rsidR="00E627B2" w:rsidRPr="00FF419B">
        <w:rPr>
          <w:vertAlign w:val="superscript"/>
          <w:lang w:val="en-US"/>
        </w:rPr>
        <w:t xml:space="preserve"> </w:t>
      </w:r>
      <w:r w:rsidR="0005775D">
        <w:rPr>
          <w:vertAlign w:val="superscript"/>
          <w:lang w:val="en-US"/>
        </w:rPr>
        <w:t xml:space="preserve"> </w:t>
      </w:r>
      <w:r w:rsidR="00697AB8" w:rsidRPr="00FF419B">
        <w:rPr>
          <w:vertAlign w:val="superscript"/>
          <w:lang w:val="en-US"/>
        </w:rPr>
        <w:t xml:space="preserve">                    </w:t>
      </w:r>
      <w:r w:rsidR="00697AB8" w:rsidRPr="00FF419B">
        <w:rPr>
          <w:lang w:val="en-US"/>
        </w:rPr>
        <w:t>Fe(SCN)</w:t>
      </w:r>
      <w:r w:rsidR="00A672FF">
        <w:rPr>
          <w:vertAlign w:val="superscript"/>
          <w:lang w:val="en-US"/>
        </w:rPr>
        <w:t>2+</w:t>
      </w:r>
      <w:r w:rsidR="00697AB8" w:rsidRPr="00FF419B">
        <w:rPr>
          <w:vertAlign w:val="superscript"/>
          <w:lang w:val="en-US"/>
        </w:rPr>
        <w:t xml:space="preserve"> </w:t>
      </w:r>
    </w:p>
    <w:p w:rsidR="00C721B4" w:rsidRDefault="002D4D84" w:rsidP="00C721B4">
      <w:pPr>
        <w:tabs>
          <w:tab w:val="left" w:pos="2760"/>
        </w:tabs>
        <w:jc w:val="both"/>
        <w:rPr>
          <w:lang w:val="en-US"/>
        </w:rPr>
      </w:pPr>
      <w:r>
        <w:rPr>
          <w:noProof/>
        </w:rPr>
        <w:pict>
          <v:shape id="_x0000_s1033" type="#_x0000_t32" style="position:absolute;left:0;text-align:left;margin-left:84.4pt;margin-top:6.15pt;width:28.5pt;height:.75pt;z-index:251664384" o:connectortype="straight">
            <v:stroke endarrow="block"/>
          </v:shape>
        </w:pict>
      </w:r>
      <w:r w:rsidR="00C721B4" w:rsidRPr="00FF419B">
        <w:rPr>
          <w:lang w:val="en-US"/>
        </w:rPr>
        <w:t>Fe</w:t>
      </w:r>
      <w:r w:rsidR="00C721B4" w:rsidRPr="00FF419B">
        <w:rPr>
          <w:vertAlign w:val="superscript"/>
          <w:lang w:val="en-US"/>
        </w:rPr>
        <w:t>3+</w:t>
      </w:r>
      <w:r w:rsidR="00C721B4" w:rsidRPr="00FF419B">
        <w:rPr>
          <w:lang w:val="en-US"/>
        </w:rPr>
        <w:t xml:space="preserve"> + </w:t>
      </w:r>
      <w:r w:rsidR="00C721B4">
        <w:rPr>
          <w:lang w:val="en-US"/>
        </w:rPr>
        <w:t xml:space="preserve">2 </w:t>
      </w:r>
      <w:r w:rsidR="0081702C">
        <w:rPr>
          <w:lang w:val="en-US"/>
        </w:rPr>
        <w:t>(</w:t>
      </w:r>
      <w:r w:rsidR="00C721B4" w:rsidRPr="00FF419B">
        <w:rPr>
          <w:lang w:val="en-US"/>
        </w:rPr>
        <w:t>SCN</w:t>
      </w:r>
      <w:r w:rsidR="0081702C">
        <w:rPr>
          <w:lang w:val="en-US"/>
        </w:rPr>
        <w:t>)</w:t>
      </w:r>
      <w:r w:rsidR="00D84798">
        <w:rPr>
          <w:vertAlign w:val="superscript"/>
          <w:lang w:val="en-US"/>
        </w:rPr>
        <w:t>ˉ</w:t>
      </w:r>
      <w:r w:rsidR="00C721B4" w:rsidRPr="00FF419B">
        <w:rPr>
          <w:vertAlign w:val="superscript"/>
          <w:lang w:val="en-US"/>
        </w:rPr>
        <w:t xml:space="preserve">                    </w:t>
      </w:r>
      <w:r w:rsidR="00C721B4" w:rsidRPr="00FF419B">
        <w:rPr>
          <w:lang w:val="en-US"/>
        </w:rPr>
        <w:t>Fe(SCN)</w:t>
      </w:r>
      <w:r w:rsidR="0081702C">
        <w:rPr>
          <w:vertAlign w:val="subscript"/>
          <w:lang w:val="en-US"/>
        </w:rPr>
        <w:t>2</w:t>
      </w:r>
      <w:r w:rsidR="0081702C">
        <w:rPr>
          <w:vertAlign w:val="superscript"/>
          <w:lang w:val="en-US"/>
        </w:rPr>
        <w:t>+</w:t>
      </w:r>
      <w:r w:rsidR="00C721B4" w:rsidRPr="00FF419B">
        <w:rPr>
          <w:vertAlign w:val="superscript"/>
          <w:lang w:val="en-US"/>
        </w:rPr>
        <w:t xml:space="preserve"> </w:t>
      </w:r>
    </w:p>
    <w:p w:rsidR="00C721B4" w:rsidRDefault="00C721B4" w:rsidP="00C721B4">
      <w:pPr>
        <w:tabs>
          <w:tab w:val="left" w:pos="2760"/>
        </w:tabs>
        <w:jc w:val="both"/>
        <w:rPr>
          <w:lang w:val="en-US"/>
        </w:rPr>
      </w:pPr>
      <w:r>
        <w:rPr>
          <w:lang w:val="en-US"/>
        </w:rPr>
        <w:t>.</w:t>
      </w:r>
    </w:p>
    <w:p w:rsidR="009C6EBA" w:rsidRPr="00C721B4" w:rsidRDefault="009C6EBA" w:rsidP="00C721B4">
      <w:pPr>
        <w:tabs>
          <w:tab w:val="left" w:pos="2760"/>
        </w:tabs>
        <w:jc w:val="both"/>
        <w:rPr>
          <w:lang w:val="en-US"/>
        </w:rPr>
      </w:pPr>
      <w:r>
        <w:rPr>
          <w:lang w:val="en-US"/>
        </w:rPr>
        <w:t>.</w:t>
      </w:r>
    </w:p>
    <w:p w:rsidR="00697AB8" w:rsidRPr="00D84798" w:rsidRDefault="002D4D84" w:rsidP="00C721B4">
      <w:pPr>
        <w:tabs>
          <w:tab w:val="left" w:pos="2760"/>
        </w:tabs>
        <w:jc w:val="both"/>
        <w:rPr>
          <w:vertAlign w:val="superscript"/>
          <w:lang w:val="en-US"/>
        </w:rPr>
      </w:pPr>
      <w:r>
        <w:rPr>
          <w:noProof/>
        </w:rPr>
        <w:pict>
          <v:shape id="_x0000_s1032" type="#_x0000_t32" style="position:absolute;left:0;text-align:left;margin-left:85.6pt;margin-top:7pt;width:29.25pt;height:0;z-index:251662336" o:connectortype="straight">
            <v:stroke endarrow="block"/>
          </v:shape>
        </w:pict>
      </w:r>
      <w:r w:rsidR="00697AB8" w:rsidRPr="00D84798">
        <w:rPr>
          <w:lang w:val="en-US"/>
        </w:rPr>
        <w:t>Fe</w:t>
      </w:r>
      <w:r w:rsidR="00697AB8" w:rsidRPr="00D84798">
        <w:rPr>
          <w:vertAlign w:val="superscript"/>
          <w:lang w:val="en-US"/>
        </w:rPr>
        <w:t>3+</w:t>
      </w:r>
      <w:r w:rsidR="00697AB8" w:rsidRPr="00D84798">
        <w:rPr>
          <w:lang w:val="en-US"/>
        </w:rPr>
        <w:t xml:space="preserve"> + 6</w:t>
      </w:r>
      <w:r w:rsidR="0081702C" w:rsidRPr="00D84798">
        <w:rPr>
          <w:lang w:val="en-US"/>
        </w:rPr>
        <w:t xml:space="preserve"> </w:t>
      </w:r>
      <w:r w:rsidR="00697AB8" w:rsidRPr="00D84798">
        <w:rPr>
          <w:lang w:val="en-US"/>
        </w:rPr>
        <w:t>(SCN)</w:t>
      </w:r>
      <w:r w:rsidR="00D84798" w:rsidRPr="00D84798">
        <w:rPr>
          <w:vertAlign w:val="superscript"/>
          <w:lang w:val="en-US"/>
        </w:rPr>
        <w:t>ˉ</w:t>
      </w:r>
      <w:r w:rsidR="001A7979" w:rsidRPr="00D84798">
        <w:rPr>
          <w:lang w:val="en-US"/>
        </w:rPr>
        <w:t xml:space="preserve">              </w:t>
      </w:r>
      <w:r w:rsidR="00697AB8" w:rsidRPr="00D84798">
        <w:rPr>
          <w:lang w:val="en-US"/>
        </w:rPr>
        <w:t>Fe(SCN)</w:t>
      </w:r>
      <w:r w:rsidR="00697AB8" w:rsidRPr="00D84798">
        <w:rPr>
          <w:vertAlign w:val="subscript"/>
          <w:lang w:val="en-US"/>
        </w:rPr>
        <w:t>6</w:t>
      </w:r>
      <w:r w:rsidR="00697AB8" w:rsidRPr="00D84798">
        <w:rPr>
          <w:vertAlign w:val="superscript"/>
          <w:lang w:val="en-US"/>
        </w:rPr>
        <w:t>3-</w:t>
      </w:r>
    </w:p>
    <w:p w:rsidR="00C721B4" w:rsidRPr="00D84798" w:rsidRDefault="00C721B4" w:rsidP="00C721B4">
      <w:pPr>
        <w:tabs>
          <w:tab w:val="left" w:pos="2760"/>
        </w:tabs>
        <w:jc w:val="both"/>
        <w:rPr>
          <w:lang w:val="en-US"/>
        </w:rPr>
      </w:pPr>
    </w:p>
    <w:p w:rsidR="00C721B4" w:rsidRPr="00C721B4" w:rsidRDefault="00C721B4" w:rsidP="00C721B4">
      <w:pPr>
        <w:tabs>
          <w:tab w:val="left" w:pos="2760"/>
        </w:tabs>
        <w:spacing w:line="360" w:lineRule="auto"/>
        <w:jc w:val="both"/>
      </w:pPr>
      <w:r w:rsidRPr="00C721B4">
        <w:t xml:space="preserve">Od stężenia reagentów </w:t>
      </w:r>
      <w:r>
        <w:t>i</w:t>
      </w:r>
      <w:r w:rsidRPr="00C721B4">
        <w:t xml:space="preserve"> pH środowiska zależy który z powyższych kompleksów przeważa w roztworze</w:t>
      </w:r>
      <w:r w:rsidR="009C6EBA">
        <w:t>.</w:t>
      </w:r>
    </w:p>
    <w:p w:rsidR="00946918" w:rsidRPr="00FF419B" w:rsidRDefault="00946918" w:rsidP="00C721B4">
      <w:pPr>
        <w:tabs>
          <w:tab w:val="left" w:pos="2760"/>
        </w:tabs>
        <w:spacing w:line="360" w:lineRule="auto"/>
        <w:jc w:val="both"/>
      </w:pPr>
      <w:r w:rsidRPr="00FF419B">
        <w:rPr>
          <w:b/>
        </w:rPr>
        <w:t>Wykonanie oznaczenia</w:t>
      </w:r>
    </w:p>
    <w:p w:rsidR="004A3D2A" w:rsidRPr="00FF419B" w:rsidRDefault="004A3D2A" w:rsidP="009C6EBA">
      <w:pPr>
        <w:tabs>
          <w:tab w:val="left" w:pos="2760"/>
        </w:tabs>
        <w:spacing w:line="360" w:lineRule="auto"/>
        <w:ind w:firstLine="737"/>
        <w:jc w:val="both"/>
      </w:pPr>
      <w:r w:rsidRPr="00FF419B">
        <w:t>Z jednorodnej rozdrobnionej próby badanego materiału odważyć na wadz</w:t>
      </w:r>
      <w:r w:rsidR="0005775D">
        <w:t>e technicznej 2 próbki po ok. 5</w:t>
      </w:r>
      <w:r w:rsidR="009C6EBA">
        <w:t xml:space="preserve"> g. Jedną</w:t>
      </w:r>
      <w:r w:rsidRPr="00FF419B">
        <w:t xml:space="preserve"> z nic</w:t>
      </w:r>
      <w:r w:rsidR="0005775D">
        <w:t>h przenieść do zlewki o poj. 50</w:t>
      </w:r>
      <w:r w:rsidRPr="00FF419B">
        <w:t xml:space="preserve"> </w:t>
      </w:r>
      <w:r w:rsidR="00A672FF">
        <w:t>ml</w:t>
      </w:r>
      <w:r w:rsidRPr="00FF419B">
        <w:rPr>
          <w:vertAlign w:val="superscript"/>
        </w:rPr>
        <w:t xml:space="preserve">, </w:t>
      </w:r>
      <w:r w:rsidR="0005775D">
        <w:t>dodać  5</w:t>
      </w:r>
      <w:r w:rsidRPr="00FF419B">
        <w:t xml:space="preserve"> </w:t>
      </w:r>
      <w:r w:rsidR="00A672FF">
        <w:t>ml</w:t>
      </w:r>
      <w:r w:rsidRPr="00FF419B">
        <w:t xml:space="preserve"> wody destylowanej i ogrzewać utrzymując w lekkim wrzeniu prz</w:t>
      </w:r>
      <w:r w:rsidR="009C6EBA">
        <w:t xml:space="preserve">ez 10 min.  Następnie materiał </w:t>
      </w:r>
      <w:r w:rsidRPr="00FF419B">
        <w:t xml:space="preserve">surowy i gotowany </w:t>
      </w:r>
      <w:r w:rsidR="00EF49C9" w:rsidRPr="00FF419B">
        <w:t>(</w:t>
      </w:r>
      <w:r w:rsidRPr="00FF419B">
        <w:t xml:space="preserve">po odlaniu wody) dokładnie rozetrzeć w moździerzach porcelanowych. </w:t>
      </w:r>
      <w:r w:rsidR="0005775D">
        <w:t>Odważyć po 1</w:t>
      </w:r>
      <w:r w:rsidRPr="00FF419B">
        <w:t xml:space="preserve"> g próbki i przenieść ilościowo do </w:t>
      </w:r>
      <w:r w:rsidR="0005775D">
        <w:t>probówek</w:t>
      </w:r>
      <w:r w:rsidRPr="00FF419B">
        <w:t xml:space="preserve"> z korkiem </w:t>
      </w:r>
      <w:r w:rsidR="00EF49C9" w:rsidRPr="00FF419B">
        <w:t xml:space="preserve">o poj. </w:t>
      </w:r>
      <w:r w:rsidR="0005775D">
        <w:t>10</w:t>
      </w:r>
      <w:r w:rsidRPr="00FF419B">
        <w:t xml:space="preserve"> </w:t>
      </w:r>
      <w:r w:rsidR="00A672FF">
        <w:t>ml</w:t>
      </w:r>
      <w:r w:rsidRPr="00FF419B">
        <w:t xml:space="preserve">, </w:t>
      </w:r>
      <w:r w:rsidR="0005775D">
        <w:t>używając 9</w:t>
      </w:r>
      <w:r w:rsidRPr="00FF419B">
        <w:t xml:space="preserve"> </w:t>
      </w:r>
      <w:r w:rsidR="00A672FF">
        <w:t>ml</w:t>
      </w:r>
      <w:r w:rsidRPr="00FF419B">
        <w:t xml:space="preserve"> 5%  kwasu trichlorooctowego (TCA) i wytrząsać przez 10 min. Następnie próbki odwirować przy 3000 obr./min. przez 10 min.</w:t>
      </w:r>
      <w:r w:rsidR="0000563C" w:rsidRPr="00FF419B">
        <w:t xml:space="preserve"> </w:t>
      </w:r>
      <w:r w:rsidR="006F792D" w:rsidRPr="00FF419B">
        <w:t xml:space="preserve">i przesączyć przez twardy sączek bibułowy. Z każdego przesączu po dokładnym wymieszaniu pobrać po 2 </w:t>
      </w:r>
      <w:r w:rsidR="00A672FF">
        <w:t>ml</w:t>
      </w:r>
      <w:r w:rsidR="006F792D" w:rsidRPr="00FF419B">
        <w:t xml:space="preserve"> do dwóch probówek. Do jednej probówki dodać 2 </w:t>
      </w:r>
      <w:r w:rsidR="00A672FF">
        <w:t>ml</w:t>
      </w:r>
      <w:r w:rsidR="006F792D" w:rsidRPr="00FF419B">
        <w:t xml:space="preserve"> wody destylowanej (próba ślepa), a do drugiej 2 </w:t>
      </w:r>
      <w:r w:rsidR="00A672FF">
        <w:t>ml</w:t>
      </w:r>
      <w:r w:rsidR="009C6EBA">
        <w:t xml:space="preserve"> azotanu żelazowego. Probówki</w:t>
      </w:r>
      <w:r w:rsidR="006F792D" w:rsidRPr="00FF419B">
        <w:t xml:space="preserve"> od tej chwili przetrzymywać bez dostępu światła. Przygotować</w:t>
      </w:r>
      <w:r w:rsidR="0000563C" w:rsidRPr="00FF419B">
        <w:t xml:space="preserve"> także próbę</w:t>
      </w:r>
      <w:r w:rsidR="006F792D" w:rsidRPr="00FF419B">
        <w:t xml:space="preserve"> ślepą odczynnikową pobierając 2 </w:t>
      </w:r>
      <w:r w:rsidR="00A672FF">
        <w:t>ml</w:t>
      </w:r>
      <w:r w:rsidR="006F792D" w:rsidRPr="00FF419B">
        <w:t xml:space="preserve"> wody i 2 </w:t>
      </w:r>
      <w:r w:rsidR="00A672FF">
        <w:t>ml</w:t>
      </w:r>
      <w:r w:rsidR="006F792D" w:rsidRPr="00FF419B">
        <w:t xml:space="preserve"> azotanu żelazowego</w:t>
      </w:r>
      <w:r w:rsidR="00A672FF">
        <w:t>. Następnie zmierzyć absorbancję</w:t>
      </w:r>
      <w:r w:rsidR="006F792D" w:rsidRPr="00FF419B">
        <w:t xml:space="preserve"> prób właściwych i ślepych wobec wody destylowanej przy długości fali 470 nm w czasie nie dłuższym niż 5 min. od dodania azotanu żelazowego.</w:t>
      </w:r>
    </w:p>
    <w:p w:rsidR="006F792D" w:rsidRPr="00FF419B" w:rsidRDefault="006F792D" w:rsidP="00746F4D">
      <w:pPr>
        <w:tabs>
          <w:tab w:val="left" w:pos="2760"/>
        </w:tabs>
        <w:spacing w:line="360" w:lineRule="auto"/>
        <w:ind w:firstLine="737"/>
        <w:jc w:val="both"/>
      </w:pPr>
      <w:r w:rsidRPr="00FF419B">
        <w:t xml:space="preserve">Stężenie tiocyjanianów </w:t>
      </w:r>
      <w:r w:rsidR="0000563C" w:rsidRPr="00FF419B">
        <w:t xml:space="preserve">w </w:t>
      </w:r>
      <w:r w:rsidR="00EF49C9" w:rsidRPr="00FF419B">
        <w:t>badanej próbce odczytać z krzywej wzorcowej, po</w:t>
      </w:r>
      <w:r w:rsidR="009C6EBA">
        <w:t>mniejszając uzyskaną</w:t>
      </w:r>
      <w:r w:rsidR="001740B8">
        <w:t xml:space="preserve"> absorbancję</w:t>
      </w:r>
      <w:r w:rsidR="00EF49C9" w:rsidRPr="00FF419B">
        <w:t xml:space="preserve"> o wartości odpowiednich prób ślepych</w:t>
      </w:r>
      <w:r w:rsidR="0005775D">
        <w:t xml:space="preserve"> </w:t>
      </w:r>
      <w:r w:rsidR="00EF49C9" w:rsidRPr="00FF419B">
        <w:t>(ślepej próby i ślepej odczynnikowej). Wynik przeliczyć na naważkę i na 100 g produktu.</w:t>
      </w:r>
    </w:p>
    <w:p w:rsidR="00EF49C9" w:rsidRPr="00FF419B" w:rsidRDefault="00EF49C9" w:rsidP="00FF419B">
      <w:pPr>
        <w:tabs>
          <w:tab w:val="left" w:pos="2760"/>
        </w:tabs>
        <w:spacing w:line="360" w:lineRule="auto"/>
        <w:jc w:val="both"/>
      </w:pPr>
      <w:r w:rsidRPr="00FF419B">
        <w:rPr>
          <w:b/>
        </w:rPr>
        <w:t>Wykonanie krzywej wzorcowej</w:t>
      </w:r>
      <w:r w:rsidRPr="00FF419B">
        <w:t>:</w:t>
      </w:r>
    </w:p>
    <w:p w:rsidR="003D24C2" w:rsidRPr="00531AFC" w:rsidRDefault="00EF49C9" w:rsidP="00531AFC">
      <w:pPr>
        <w:tabs>
          <w:tab w:val="left" w:pos="2760"/>
        </w:tabs>
        <w:spacing w:line="360" w:lineRule="auto"/>
        <w:ind w:firstLine="737"/>
        <w:jc w:val="both"/>
      </w:pPr>
      <w:r w:rsidRPr="00FF419B">
        <w:t>Przygotować roztwór podstawowy jonów SCN</w:t>
      </w:r>
      <w:r w:rsidR="00D84798">
        <w:t>ˉ</w:t>
      </w:r>
      <w:r w:rsidR="000E0471" w:rsidRPr="00FF419B">
        <w:t xml:space="preserve">, rozpuszczając 16,7 mg rodanku potasowego w 100 </w:t>
      </w:r>
      <w:r w:rsidR="00A672FF">
        <w:t>ml</w:t>
      </w:r>
      <w:r w:rsidR="000E0471" w:rsidRPr="00FF419B">
        <w:t xml:space="preserve"> 5% kwasu trichlorooctowego (TCA) (roztwór A), następnie 10 </w:t>
      </w:r>
      <w:r w:rsidR="00A672FF">
        <w:t xml:space="preserve">ml </w:t>
      </w:r>
      <w:r w:rsidR="000E0471" w:rsidRPr="00FF419B">
        <w:t xml:space="preserve">tego roztworu rozcieńczyć tym samym kwasem do 100 </w:t>
      </w:r>
      <w:r w:rsidR="00A672FF">
        <w:t>ml</w:t>
      </w:r>
      <w:r w:rsidR="000E0471" w:rsidRPr="00FF419B">
        <w:t>, uzyskując</w:t>
      </w:r>
      <w:r w:rsidR="00AB265B" w:rsidRPr="00FF419B">
        <w:t xml:space="preserve"> </w:t>
      </w:r>
      <w:r w:rsidR="000E0471" w:rsidRPr="00FF419B">
        <w:t xml:space="preserve">w </w:t>
      </w:r>
      <w:r w:rsidR="00AB265B" w:rsidRPr="00FF419B">
        <w:t>t</w:t>
      </w:r>
      <w:r w:rsidR="000E0471" w:rsidRPr="00FF419B">
        <w:t xml:space="preserve">en sposób roztwór wzorcowy B,  którego 1 </w:t>
      </w:r>
      <w:r w:rsidR="00A672FF">
        <w:t>ml</w:t>
      </w:r>
      <w:r w:rsidR="000E0471" w:rsidRPr="00FF419B">
        <w:t xml:space="preserve"> zawiera 10 </w:t>
      </w:r>
      <w:r w:rsidR="000E0471">
        <w:sym w:font="Symbol" w:char="F06D"/>
      </w:r>
      <w:r w:rsidR="000E0471" w:rsidRPr="00FF419B">
        <w:t>g jonów SCN</w:t>
      </w:r>
      <w:r w:rsidR="00D84798">
        <w:rPr>
          <w:vertAlign w:val="superscript"/>
        </w:rPr>
        <w:t>ˉ</w:t>
      </w:r>
      <w:r w:rsidR="003B346E">
        <w:t>. Z tego roztworu przygotować</w:t>
      </w:r>
      <w:r w:rsidR="000E0471" w:rsidRPr="00FF419B">
        <w:t xml:space="preserve"> krzywą wzorcową według schematu podanego w tabeli: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86"/>
        <w:gridCol w:w="2151"/>
        <w:gridCol w:w="2003"/>
        <w:gridCol w:w="1993"/>
      </w:tblGrid>
      <w:tr w:rsidR="000E0471" w:rsidTr="00AB265B">
        <w:trPr>
          <w:trHeight w:val="880"/>
        </w:trPr>
        <w:tc>
          <w:tcPr>
            <w:tcW w:w="1986" w:type="dxa"/>
            <w:vAlign w:val="center"/>
          </w:tcPr>
          <w:p w:rsidR="000E0471" w:rsidRPr="000E0471" w:rsidRDefault="000E0471" w:rsidP="00A672FF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Roztwór B (</w:t>
            </w:r>
            <w:r w:rsidR="00A672FF">
              <w:rPr>
                <w:rFonts w:ascii="Times New Roman" w:hAnsi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1" w:type="dxa"/>
            <w:vAlign w:val="center"/>
          </w:tcPr>
          <w:p w:rsidR="000E0471" w:rsidRDefault="000E0471" w:rsidP="00A672FF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 kwas trichlorooctowy (TCA), (</w:t>
            </w:r>
            <w:r w:rsidR="00A672FF">
              <w:rPr>
                <w:rFonts w:ascii="Times New Roman" w:hAnsi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vAlign w:val="center"/>
          </w:tcPr>
          <w:p w:rsidR="000E0471" w:rsidRPr="000E0471" w:rsidRDefault="000E0471" w:rsidP="00A672FF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Azotan żelazowy (</w:t>
            </w:r>
            <w:r w:rsidR="00A672FF">
              <w:rPr>
                <w:rFonts w:ascii="Times New Roman" w:hAnsi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3" w:type="dxa"/>
            <w:vAlign w:val="center"/>
          </w:tcPr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471" w:rsidRDefault="000E0471" w:rsidP="00D84798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Stężenie SCN</w:t>
            </w:r>
            <w:r w:rsidR="00D84798">
              <w:rPr>
                <w:rFonts w:ascii="Times New Roman" w:hAnsi="Times New Roman"/>
                <w:sz w:val="24"/>
                <w:szCs w:val="24"/>
                <w:vertAlign w:val="superscript"/>
              </w:rPr>
              <w:t>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6D"/>
            </w:r>
            <w:r>
              <w:rPr>
                <w:rFonts w:ascii="Times New Roman" w:hAnsi="Times New Roman"/>
                <w:sz w:val="24"/>
                <w:szCs w:val="24"/>
              </w:rPr>
              <w:t>g/</w:t>
            </w:r>
            <w:r w:rsidR="00A672FF">
              <w:rPr>
                <w:rFonts w:ascii="Times New Roman" w:hAnsi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0471" w:rsidTr="00AB265B">
        <w:trPr>
          <w:trHeight w:val="1704"/>
        </w:trPr>
        <w:tc>
          <w:tcPr>
            <w:tcW w:w="1986" w:type="dxa"/>
            <w:vAlign w:val="center"/>
          </w:tcPr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vAlign w:val="center"/>
          </w:tcPr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471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65B" w:rsidRDefault="000E0471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vAlign w:val="center"/>
          </w:tcPr>
          <w:p w:rsidR="000E0471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B265B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vAlign w:val="center"/>
          </w:tcPr>
          <w:p w:rsidR="000E0471" w:rsidRDefault="00AB265B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(ślepa)</w:t>
            </w:r>
          </w:p>
          <w:p w:rsidR="00AB265B" w:rsidRDefault="001740B8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265B" w:rsidRDefault="001740B8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65B" w:rsidRDefault="001740B8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265B" w:rsidRDefault="001740B8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265B" w:rsidRDefault="001740B8" w:rsidP="00AB265B">
            <w:pPr>
              <w:pStyle w:val="Akapitzlist"/>
              <w:tabs>
                <w:tab w:val="left" w:pos="276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B265B" w:rsidRPr="003D24C2" w:rsidRDefault="0005775D" w:rsidP="003D24C2">
      <w:pPr>
        <w:pStyle w:val="Akapitzlist"/>
        <w:tabs>
          <w:tab w:val="left" w:pos="2760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Zmierzyć absorbancję</w:t>
      </w:r>
      <w:r w:rsidR="00AB265B">
        <w:rPr>
          <w:rFonts w:ascii="Times New Roman" w:hAnsi="Times New Roman"/>
          <w:sz w:val="24"/>
          <w:szCs w:val="24"/>
        </w:rPr>
        <w:t xml:space="preserve"> wobe</w:t>
      </w:r>
      <w:r w:rsidR="00DD5331">
        <w:rPr>
          <w:rFonts w:ascii="Times New Roman" w:hAnsi="Times New Roman"/>
          <w:sz w:val="24"/>
          <w:szCs w:val="24"/>
        </w:rPr>
        <w:t>c próby ślepej przy długości fal</w:t>
      </w:r>
      <w:r w:rsidR="00AB265B">
        <w:rPr>
          <w:rFonts w:ascii="Times New Roman" w:hAnsi="Times New Roman"/>
          <w:sz w:val="24"/>
          <w:szCs w:val="24"/>
        </w:rPr>
        <w:t>i 470 nm.</w:t>
      </w:r>
    </w:p>
    <w:p w:rsidR="00AB265B" w:rsidRDefault="00AB265B" w:rsidP="003D24C2">
      <w:pPr>
        <w:pStyle w:val="Akapitzlist"/>
        <w:tabs>
          <w:tab w:val="left" w:pos="2760"/>
        </w:tabs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oznaczeń zawartości tiocyjanianów w badanych produktach przedstawić w tabeli: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59"/>
        <w:gridCol w:w="2640"/>
        <w:gridCol w:w="1509"/>
      </w:tblGrid>
      <w:tr w:rsidR="007439E9" w:rsidTr="007439E9">
        <w:tc>
          <w:tcPr>
            <w:tcW w:w="4059" w:type="dxa"/>
          </w:tcPr>
          <w:p w:rsidR="007439E9" w:rsidRDefault="007439E9" w:rsidP="00576E92">
            <w:pPr>
              <w:pStyle w:val="Akapitzlist"/>
              <w:tabs>
                <w:tab w:val="left" w:pos="27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Produkt</w:t>
            </w:r>
          </w:p>
        </w:tc>
        <w:tc>
          <w:tcPr>
            <w:tcW w:w="2640" w:type="dxa"/>
          </w:tcPr>
          <w:p w:rsidR="007439E9" w:rsidRDefault="007439E9" w:rsidP="00576E92">
            <w:pPr>
              <w:pStyle w:val="Akapitzlist"/>
              <w:tabs>
                <w:tab w:val="left" w:pos="27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tiocyjanianów</w:t>
            </w:r>
          </w:p>
          <w:p w:rsidR="007439E9" w:rsidRDefault="007439E9" w:rsidP="00576E92">
            <w:pPr>
              <w:pStyle w:val="Akapitzlist"/>
              <w:tabs>
                <w:tab w:val="left" w:pos="27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(mg/100g)</w:t>
            </w:r>
          </w:p>
        </w:tc>
        <w:tc>
          <w:tcPr>
            <w:tcW w:w="1509" w:type="dxa"/>
          </w:tcPr>
          <w:p w:rsidR="007439E9" w:rsidRDefault="00C245C1" w:rsidP="00576E92">
            <w:pPr>
              <w:pStyle w:val="Akapitzlist"/>
              <w:tabs>
                <w:tab w:val="left" w:pos="27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Straty podczas gotowania (%)</w:t>
            </w:r>
          </w:p>
        </w:tc>
      </w:tr>
      <w:tr w:rsidR="001D229C" w:rsidTr="00A969BD">
        <w:tc>
          <w:tcPr>
            <w:tcW w:w="4059" w:type="dxa"/>
          </w:tcPr>
          <w:p w:rsidR="001D229C" w:rsidRDefault="001D229C" w:rsidP="007439E9">
            <w:pPr>
              <w:pStyle w:val="Akapitzlist"/>
              <w:tabs>
                <w:tab w:val="left" w:pos="1050"/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surowy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29C" w:rsidRPr="007439E9" w:rsidRDefault="001D229C" w:rsidP="007439E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1D229C" w:rsidRDefault="001D229C" w:rsidP="007439E9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229C" w:rsidRPr="007439E9" w:rsidRDefault="001D229C" w:rsidP="007439E9">
            <w:pPr>
              <w:rPr>
                <w:lang w:eastAsia="en-US"/>
              </w:rPr>
            </w:pPr>
          </w:p>
        </w:tc>
        <w:tc>
          <w:tcPr>
            <w:tcW w:w="1509" w:type="dxa"/>
            <w:vMerge w:val="restart"/>
          </w:tcPr>
          <w:p w:rsidR="001D229C" w:rsidRDefault="001D229C" w:rsidP="00C245C1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9C" w:rsidTr="00A969BD">
        <w:tc>
          <w:tcPr>
            <w:tcW w:w="4059" w:type="dxa"/>
          </w:tcPr>
          <w:p w:rsidR="001D229C" w:rsidRDefault="001D229C" w:rsidP="004A3D2A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gotowany</w:t>
            </w:r>
          </w:p>
          <w:p w:rsidR="001D229C" w:rsidRDefault="001D229C" w:rsidP="004A3D2A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D229C" w:rsidRDefault="001D229C" w:rsidP="004A3D2A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D229C" w:rsidRDefault="001D229C" w:rsidP="004A3D2A">
            <w:pPr>
              <w:pStyle w:val="Akapitzlist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9C9" w:rsidRPr="00531AFC" w:rsidRDefault="00AB265B" w:rsidP="00531AFC">
      <w:pPr>
        <w:tabs>
          <w:tab w:val="left" w:pos="2760"/>
        </w:tabs>
      </w:pPr>
      <w:r w:rsidRPr="00531AFC">
        <w:t xml:space="preserve"> </w:t>
      </w:r>
    </w:p>
    <w:p w:rsidR="001740B8" w:rsidRDefault="00AB265B" w:rsidP="001740B8">
      <w:pPr>
        <w:spacing w:line="360" w:lineRule="auto"/>
        <w:jc w:val="both"/>
        <w:rPr>
          <w:b/>
        </w:rPr>
      </w:pPr>
      <w:r w:rsidRPr="00FF419B">
        <w:t>Wyciągnij wnioski z otrzymanych wyników i oceń wpły</w:t>
      </w:r>
      <w:r w:rsidR="00DE1247" w:rsidRPr="00FF419B">
        <w:t>w procesu gotowania na zawartość</w:t>
      </w:r>
      <w:r w:rsidRPr="00FF419B">
        <w:t xml:space="preserve"> tiocyjanianów w badanych produktach.</w:t>
      </w:r>
      <w:r w:rsidR="001740B8" w:rsidRPr="001740B8">
        <w:rPr>
          <w:b/>
        </w:rPr>
        <w:t xml:space="preserve"> </w:t>
      </w:r>
    </w:p>
    <w:p w:rsidR="001740B8" w:rsidRPr="00E008E7" w:rsidRDefault="001740B8" w:rsidP="001740B8">
      <w:pPr>
        <w:spacing w:line="360" w:lineRule="auto"/>
        <w:jc w:val="both"/>
        <w:rPr>
          <w:b/>
          <w:sz w:val="28"/>
          <w:szCs w:val="28"/>
        </w:rPr>
      </w:pPr>
      <w:r w:rsidRPr="00E008E7">
        <w:rPr>
          <w:b/>
          <w:sz w:val="28"/>
          <w:szCs w:val="28"/>
        </w:rPr>
        <w:t>Zakres wiadomości wymaganych do kolokwium wstępnego</w:t>
      </w:r>
    </w:p>
    <w:p w:rsidR="001740B8" w:rsidRDefault="001740B8" w:rsidP="001740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oznaczania zawartości szczawianów rozpuszczalnych w produktach spożywczych</w:t>
      </w:r>
    </w:p>
    <w:p w:rsidR="001740B8" w:rsidRDefault="001740B8" w:rsidP="001740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oznaczania zawartości tiocyjanianów w warzywach</w:t>
      </w:r>
    </w:p>
    <w:p w:rsidR="001740B8" w:rsidRPr="00E008E7" w:rsidRDefault="00B947B7" w:rsidP="00E008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</w:t>
      </w:r>
      <w:r w:rsidR="001740B8">
        <w:rPr>
          <w:rFonts w:ascii="Times New Roman" w:hAnsi="Times New Roman"/>
          <w:sz w:val="24"/>
          <w:szCs w:val="24"/>
        </w:rPr>
        <w:t>ródła tiocyjanianów i szczawianów w pożywieniu</w:t>
      </w:r>
      <w:r w:rsidR="002B15F1">
        <w:rPr>
          <w:rFonts w:ascii="Times New Roman" w:hAnsi="Times New Roman"/>
          <w:sz w:val="24"/>
          <w:szCs w:val="24"/>
        </w:rPr>
        <w:t xml:space="preserve"> i wpływ</w:t>
      </w:r>
      <w:r w:rsidR="00100F11">
        <w:rPr>
          <w:rFonts w:ascii="Times New Roman" w:hAnsi="Times New Roman"/>
          <w:sz w:val="24"/>
          <w:szCs w:val="24"/>
        </w:rPr>
        <w:t xml:space="preserve"> tych związków</w:t>
      </w:r>
      <w:bookmarkStart w:id="0" w:name="_GoBack"/>
      <w:bookmarkEnd w:id="0"/>
      <w:r w:rsidR="002B15F1">
        <w:rPr>
          <w:rFonts w:ascii="Times New Roman" w:hAnsi="Times New Roman"/>
          <w:sz w:val="24"/>
          <w:szCs w:val="24"/>
        </w:rPr>
        <w:t xml:space="preserve"> na organizm człowieka</w:t>
      </w:r>
    </w:p>
    <w:p w:rsidR="00105EAC" w:rsidRPr="001740B8" w:rsidRDefault="001740B8" w:rsidP="00FF419B">
      <w:pPr>
        <w:tabs>
          <w:tab w:val="left" w:pos="2760"/>
        </w:tabs>
        <w:spacing w:line="360" w:lineRule="auto"/>
        <w:jc w:val="both"/>
      </w:pPr>
      <w:r w:rsidRPr="001740B8">
        <w:t>Opracowano na podstawie:</w:t>
      </w:r>
    </w:p>
    <w:p w:rsidR="00105EAC" w:rsidRPr="001740B8" w:rsidRDefault="001740B8" w:rsidP="001740B8">
      <w:pPr>
        <w:tabs>
          <w:tab w:val="left" w:pos="2760"/>
        </w:tabs>
        <w:spacing w:line="360" w:lineRule="auto"/>
        <w:jc w:val="both"/>
      </w:pPr>
      <w:r>
        <w:t>1.</w:t>
      </w:r>
      <w:r w:rsidR="00105EAC" w:rsidRPr="001740B8">
        <w:t>Orzeł D., Biernat J. (red). Wybrane zagadnienia z toksykolo</w:t>
      </w:r>
      <w:r w:rsidR="00C90EEB" w:rsidRPr="001740B8">
        <w:t>gii żywności. Wyd. UP, Wrocław 2</w:t>
      </w:r>
      <w:r w:rsidR="00105EAC" w:rsidRPr="001740B8">
        <w:t>012</w:t>
      </w:r>
    </w:p>
    <w:p w:rsidR="00105EAC" w:rsidRPr="001740B8" w:rsidRDefault="001740B8" w:rsidP="001740B8">
      <w:pPr>
        <w:tabs>
          <w:tab w:val="left" w:pos="2760"/>
        </w:tabs>
        <w:spacing w:line="360" w:lineRule="auto"/>
        <w:jc w:val="both"/>
      </w:pPr>
      <w:r>
        <w:t>2.</w:t>
      </w:r>
      <w:r w:rsidR="00105EAC" w:rsidRPr="001740B8">
        <w:t>Brzozowska A. Toksykologia żywności. Wyd. SGGW, Warszawa 2010</w:t>
      </w:r>
    </w:p>
    <w:p w:rsidR="00DC43E9" w:rsidRPr="001740B8" w:rsidRDefault="001740B8" w:rsidP="001740B8">
      <w:pPr>
        <w:autoSpaceDE w:val="0"/>
        <w:autoSpaceDN w:val="0"/>
        <w:adjustRightInd w:val="0"/>
        <w:jc w:val="both"/>
        <w:rPr>
          <w:rFonts w:eastAsiaTheme="minorHAnsi"/>
          <w:bCs/>
          <w:color w:val="231F20"/>
        </w:rPr>
      </w:pPr>
      <w:r>
        <w:rPr>
          <w:rFonts w:eastAsiaTheme="minorHAnsi"/>
          <w:color w:val="231F20"/>
        </w:rPr>
        <w:t>3.</w:t>
      </w:r>
      <w:r w:rsidR="00746F4D" w:rsidRPr="001740B8">
        <w:rPr>
          <w:rFonts w:eastAsiaTheme="minorHAnsi"/>
          <w:color w:val="231F20"/>
        </w:rPr>
        <w:t>Dżugan M.</w:t>
      </w:r>
      <w:r w:rsidR="00746F4D" w:rsidRPr="001740B8">
        <w:rPr>
          <w:rFonts w:eastAsiaTheme="minorHAnsi"/>
          <w:bCs/>
          <w:color w:val="231F20"/>
        </w:rPr>
        <w:t xml:space="preserve"> </w:t>
      </w:r>
      <w:r w:rsidR="00DC43E9" w:rsidRPr="001740B8">
        <w:rPr>
          <w:rFonts w:eastAsiaTheme="minorHAnsi"/>
          <w:bCs/>
          <w:color w:val="231F20"/>
        </w:rPr>
        <w:t>Znaczenie warzyw kapustnych</w:t>
      </w:r>
      <w:r w:rsidR="00746F4D" w:rsidRPr="001740B8">
        <w:rPr>
          <w:rFonts w:eastAsiaTheme="minorHAnsi"/>
          <w:bCs/>
          <w:color w:val="231F20"/>
        </w:rPr>
        <w:t xml:space="preserve"> w profi</w:t>
      </w:r>
      <w:r w:rsidR="00DC43E9" w:rsidRPr="001740B8">
        <w:rPr>
          <w:rFonts w:eastAsiaTheme="minorHAnsi"/>
          <w:bCs/>
          <w:color w:val="231F20"/>
        </w:rPr>
        <w:t>laktyce nowotworów</w:t>
      </w:r>
      <w:r w:rsidR="00746F4D" w:rsidRPr="001740B8">
        <w:rPr>
          <w:rFonts w:eastAsiaTheme="minorHAnsi"/>
          <w:bCs/>
          <w:color w:val="231F20"/>
        </w:rPr>
        <w:t>.</w:t>
      </w:r>
      <w:r w:rsidR="00DC43E9" w:rsidRPr="001740B8">
        <w:rPr>
          <w:rFonts w:eastAsiaTheme="minorHAnsi"/>
          <w:bCs/>
          <w:color w:val="231F20"/>
        </w:rPr>
        <w:t xml:space="preserve"> Zdr</w:t>
      </w:r>
      <w:r w:rsidR="00746F4D" w:rsidRPr="001740B8">
        <w:rPr>
          <w:rFonts w:eastAsiaTheme="minorHAnsi"/>
          <w:bCs/>
          <w:color w:val="231F20"/>
        </w:rPr>
        <w:t>.</w:t>
      </w:r>
      <w:r w:rsidR="00DC43E9" w:rsidRPr="001740B8">
        <w:rPr>
          <w:rFonts w:eastAsiaTheme="minorHAnsi"/>
          <w:bCs/>
          <w:color w:val="231F20"/>
        </w:rPr>
        <w:t xml:space="preserve"> Publ</w:t>
      </w:r>
      <w:r w:rsidR="00746F4D" w:rsidRPr="001740B8">
        <w:rPr>
          <w:rFonts w:eastAsiaTheme="minorHAnsi"/>
          <w:bCs/>
          <w:color w:val="231F20"/>
        </w:rPr>
        <w:t xml:space="preserve">. 2007, 117, </w:t>
      </w:r>
      <w:r w:rsidR="00DC43E9" w:rsidRPr="001740B8">
        <w:rPr>
          <w:rFonts w:eastAsiaTheme="minorHAnsi"/>
          <w:bCs/>
          <w:color w:val="231F20"/>
        </w:rPr>
        <w:t>397-401</w:t>
      </w:r>
    </w:p>
    <w:p w:rsidR="00105EAC" w:rsidRPr="001740B8" w:rsidRDefault="001740B8" w:rsidP="001740B8">
      <w:pPr>
        <w:autoSpaceDE w:val="0"/>
        <w:autoSpaceDN w:val="0"/>
        <w:adjustRightInd w:val="0"/>
        <w:jc w:val="both"/>
        <w:rPr>
          <w:rFonts w:eastAsiaTheme="minorHAnsi"/>
          <w:bCs/>
          <w:color w:val="231F20"/>
        </w:rPr>
      </w:pPr>
      <w:r>
        <w:rPr>
          <w:rFonts w:eastAsiaTheme="minorHAnsi"/>
          <w:bCs/>
          <w:color w:val="231F20"/>
        </w:rPr>
        <w:t>4.</w:t>
      </w:r>
      <w:r w:rsidR="00746F4D" w:rsidRPr="001740B8">
        <w:rPr>
          <w:rFonts w:eastAsiaTheme="minorHAnsi"/>
          <w:bCs/>
          <w:color w:val="231F20"/>
        </w:rPr>
        <w:t>Jabłońska-Ryś E. Wpływ sposobu parzenia różnych rodzajów herbat za zawartość w nich szczawianów rozpuszczalnych. Żywność. Nauka. Technologia. Jakość. 2012, 80, 187-195</w:t>
      </w:r>
    </w:p>
    <w:sectPr w:rsidR="00105EAC" w:rsidRPr="001740B8" w:rsidSect="0070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94" w:rsidRDefault="00B17F94" w:rsidP="001C2EB2">
      <w:r>
        <w:separator/>
      </w:r>
    </w:p>
  </w:endnote>
  <w:endnote w:type="continuationSeparator" w:id="0">
    <w:p w:rsidR="00B17F94" w:rsidRDefault="00B17F94" w:rsidP="001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94" w:rsidRDefault="00B17F94" w:rsidP="001C2EB2">
      <w:r>
        <w:separator/>
      </w:r>
    </w:p>
  </w:footnote>
  <w:footnote w:type="continuationSeparator" w:id="0">
    <w:p w:rsidR="00B17F94" w:rsidRDefault="00B17F94" w:rsidP="001C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74F"/>
    <w:multiLevelType w:val="hybridMultilevel"/>
    <w:tmpl w:val="95BCF1B4"/>
    <w:lvl w:ilvl="0" w:tplc="9D74FE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672634"/>
    <w:multiLevelType w:val="hybridMultilevel"/>
    <w:tmpl w:val="A9CEB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A8D"/>
    <w:multiLevelType w:val="multilevel"/>
    <w:tmpl w:val="9012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A7249"/>
    <w:multiLevelType w:val="hybridMultilevel"/>
    <w:tmpl w:val="88049806"/>
    <w:lvl w:ilvl="0" w:tplc="7C02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5F41"/>
    <w:multiLevelType w:val="hybridMultilevel"/>
    <w:tmpl w:val="6D12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943"/>
    <w:multiLevelType w:val="hybridMultilevel"/>
    <w:tmpl w:val="018464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BF1A94"/>
    <w:multiLevelType w:val="hybridMultilevel"/>
    <w:tmpl w:val="88049806"/>
    <w:lvl w:ilvl="0" w:tplc="7C02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F1499"/>
    <w:multiLevelType w:val="hybridMultilevel"/>
    <w:tmpl w:val="D2B0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5955"/>
    <w:multiLevelType w:val="hybridMultilevel"/>
    <w:tmpl w:val="CC0C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23CC"/>
    <w:multiLevelType w:val="hybridMultilevel"/>
    <w:tmpl w:val="D43201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39797F"/>
    <w:multiLevelType w:val="hybridMultilevel"/>
    <w:tmpl w:val="8B58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A695F"/>
    <w:multiLevelType w:val="hybridMultilevel"/>
    <w:tmpl w:val="0A0816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179782F"/>
    <w:multiLevelType w:val="hybridMultilevel"/>
    <w:tmpl w:val="D096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3EA"/>
    <w:multiLevelType w:val="hybridMultilevel"/>
    <w:tmpl w:val="613A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7A"/>
    <w:rsid w:val="0000563C"/>
    <w:rsid w:val="000167C0"/>
    <w:rsid w:val="0005775D"/>
    <w:rsid w:val="00064AF4"/>
    <w:rsid w:val="00080F57"/>
    <w:rsid w:val="000A2ABA"/>
    <w:rsid w:val="000D7939"/>
    <w:rsid w:val="000E0471"/>
    <w:rsid w:val="000F54F2"/>
    <w:rsid w:val="00100F11"/>
    <w:rsid w:val="00105EAC"/>
    <w:rsid w:val="001300B6"/>
    <w:rsid w:val="00132C61"/>
    <w:rsid w:val="00166345"/>
    <w:rsid w:val="001740B8"/>
    <w:rsid w:val="00184512"/>
    <w:rsid w:val="001915EE"/>
    <w:rsid w:val="001A7979"/>
    <w:rsid w:val="001B32F4"/>
    <w:rsid w:val="001C0556"/>
    <w:rsid w:val="001C2EB2"/>
    <w:rsid w:val="001D229C"/>
    <w:rsid w:val="0025026E"/>
    <w:rsid w:val="002511EC"/>
    <w:rsid w:val="00251E2F"/>
    <w:rsid w:val="002950AD"/>
    <w:rsid w:val="002B15F1"/>
    <w:rsid w:val="002C3AAC"/>
    <w:rsid w:val="002D4D84"/>
    <w:rsid w:val="0032627B"/>
    <w:rsid w:val="0033169F"/>
    <w:rsid w:val="00346471"/>
    <w:rsid w:val="003B346E"/>
    <w:rsid w:val="003D24C2"/>
    <w:rsid w:val="00420F99"/>
    <w:rsid w:val="0043323C"/>
    <w:rsid w:val="00433E93"/>
    <w:rsid w:val="004515A3"/>
    <w:rsid w:val="004A3D2A"/>
    <w:rsid w:val="004C4E00"/>
    <w:rsid w:val="004D2CA0"/>
    <w:rsid w:val="004F5743"/>
    <w:rsid w:val="004F7CDA"/>
    <w:rsid w:val="0052217A"/>
    <w:rsid w:val="00527292"/>
    <w:rsid w:val="00531AFC"/>
    <w:rsid w:val="00576E92"/>
    <w:rsid w:val="005A0C28"/>
    <w:rsid w:val="005A4D5F"/>
    <w:rsid w:val="005C17F4"/>
    <w:rsid w:val="005D40E7"/>
    <w:rsid w:val="00626294"/>
    <w:rsid w:val="006978E0"/>
    <w:rsid w:val="00697AB8"/>
    <w:rsid w:val="006F792D"/>
    <w:rsid w:val="00700FCE"/>
    <w:rsid w:val="007439E9"/>
    <w:rsid w:val="00746F4D"/>
    <w:rsid w:val="00776AB6"/>
    <w:rsid w:val="00796BB8"/>
    <w:rsid w:val="007C1B50"/>
    <w:rsid w:val="007C36EC"/>
    <w:rsid w:val="007C5976"/>
    <w:rsid w:val="00811D7B"/>
    <w:rsid w:val="0081702C"/>
    <w:rsid w:val="00844FBC"/>
    <w:rsid w:val="008528B8"/>
    <w:rsid w:val="008954AB"/>
    <w:rsid w:val="008D62E5"/>
    <w:rsid w:val="00937957"/>
    <w:rsid w:val="0094038C"/>
    <w:rsid w:val="00946918"/>
    <w:rsid w:val="00953ADB"/>
    <w:rsid w:val="00962375"/>
    <w:rsid w:val="00975146"/>
    <w:rsid w:val="009A0627"/>
    <w:rsid w:val="009C48D6"/>
    <w:rsid w:val="009C6EBA"/>
    <w:rsid w:val="009D223D"/>
    <w:rsid w:val="00A21125"/>
    <w:rsid w:val="00A520E9"/>
    <w:rsid w:val="00A672FF"/>
    <w:rsid w:val="00A90099"/>
    <w:rsid w:val="00A93469"/>
    <w:rsid w:val="00A969BD"/>
    <w:rsid w:val="00AB265B"/>
    <w:rsid w:val="00AE7D39"/>
    <w:rsid w:val="00B17F94"/>
    <w:rsid w:val="00B21600"/>
    <w:rsid w:val="00B329C8"/>
    <w:rsid w:val="00B44C9B"/>
    <w:rsid w:val="00B51334"/>
    <w:rsid w:val="00B947B7"/>
    <w:rsid w:val="00BC637B"/>
    <w:rsid w:val="00BF6D1B"/>
    <w:rsid w:val="00C2186F"/>
    <w:rsid w:val="00C245C1"/>
    <w:rsid w:val="00C60466"/>
    <w:rsid w:val="00C721B4"/>
    <w:rsid w:val="00C84D6A"/>
    <w:rsid w:val="00C90EEB"/>
    <w:rsid w:val="00CA27EC"/>
    <w:rsid w:val="00CD388F"/>
    <w:rsid w:val="00CE43F7"/>
    <w:rsid w:val="00CE6C69"/>
    <w:rsid w:val="00CF642E"/>
    <w:rsid w:val="00D45762"/>
    <w:rsid w:val="00D84798"/>
    <w:rsid w:val="00D863C9"/>
    <w:rsid w:val="00DC43E9"/>
    <w:rsid w:val="00DD5331"/>
    <w:rsid w:val="00DD6DBF"/>
    <w:rsid w:val="00DE1247"/>
    <w:rsid w:val="00E008E7"/>
    <w:rsid w:val="00E03FEA"/>
    <w:rsid w:val="00E627B2"/>
    <w:rsid w:val="00E80215"/>
    <w:rsid w:val="00E80AAD"/>
    <w:rsid w:val="00E832B3"/>
    <w:rsid w:val="00EB5E73"/>
    <w:rsid w:val="00EF49C9"/>
    <w:rsid w:val="00F21646"/>
    <w:rsid w:val="00F21BA8"/>
    <w:rsid w:val="00FF419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33"/>
        <o:r id="V:Rule11" type="connector" idref="#_x0000_s1027"/>
        <o:r id="V:Rule12" type="connector" idref="#_x0000_s1032"/>
      </o:rules>
    </o:shapelayout>
  </w:shapeDefaults>
  <w:decimalSymbol w:val=","/>
  <w:listSeparator w:val=";"/>
  <w14:docId w14:val="435AB3FF"/>
  <w15:docId w15:val="{78C51B4C-933F-49CD-B268-4A5B069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F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A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2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2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8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1A8F-D984-4E88-8403-883A8C9D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8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Maria</cp:lastModifiedBy>
  <cp:revision>69</cp:revision>
  <dcterms:created xsi:type="dcterms:W3CDTF">2013-01-22T10:58:00Z</dcterms:created>
  <dcterms:modified xsi:type="dcterms:W3CDTF">2019-03-19T14:53:00Z</dcterms:modified>
</cp:coreProperties>
</file>