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91" w:rsidRDefault="005A6F91" w:rsidP="005A6F91">
      <w:pPr>
        <w:pStyle w:val="Tytu"/>
      </w:pPr>
      <w:r>
        <w:t>Regulamin ćwiczeń laboratoryjnych</w:t>
      </w:r>
    </w:p>
    <w:p w:rsidR="005A6F91" w:rsidRDefault="005A6F91" w:rsidP="00B56231">
      <w:pPr>
        <w:pStyle w:val="Nagwek1"/>
        <w:jc w:val="center"/>
        <w:rPr>
          <w:b/>
          <w:bCs/>
        </w:rPr>
      </w:pPr>
      <w:r>
        <w:t>z przedmiotu</w:t>
      </w:r>
      <w:r>
        <w:rPr>
          <w:b/>
          <w:bCs/>
        </w:rPr>
        <w:t xml:space="preserve"> Bromatologia</w:t>
      </w:r>
      <w:r w:rsidR="00537437">
        <w:rPr>
          <w:b/>
          <w:bCs/>
        </w:rPr>
        <w:t xml:space="preserve"> w roku akademickim 2019/2020</w:t>
      </w:r>
    </w:p>
    <w:p w:rsidR="00054D7D" w:rsidRPr="00054D7D" w:rsidRDefault="00054D7D" w:rsidP="00054D7D"/>
    <w:p w:rsidR="005A6F91" w:rsidRDefault="005A6F91" w:rsidP="005A6F9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Ćwiczenia z bromatologii – </w:t>
      </w:r>
      <w:r>
        <w:rPr>
          <w:b/>
          <w:bCs/>
          <w:sz w:val="24"/>
        </w:rPr>
        <w:t xml:space="preserve">45 </w:t>
      </w:r>
      <w:proofErr w:type="spellStart"/>
      <w:r>
        <w:rPr>
          <w:b/>
          <w:bCs/>
          <w:sz w:val="24"/>
        </w:rPr>
        <w:t>godz</w:t>
      </w:r>
      <w:proofErr w:type="spellEnd"/>
      <w:r>
        <w:rPr>
          <w:b/>
          <w:bCs/>
          <w:sz w:val="24"/>
        </w:rPr>
        <w:t>/semestr</w:t>
      </w:r>
      <w:r>
        <w:rPr>
          <w:sz w:val="24"/>
        </w:rPr>
        <w:t xml:space="preserve"> przeprowadzone są ze studentami IV roku Wydziału Farmaceutycznego. Obejmują </w:t>
      </w:r>
      <w:r w:rsidRPr="004010E8">
        <w:rPr>
          <w:sz w:val="24"/>
        </w:rPr>
        <w:t>8</w:t>
      </w:r>
      <w:r>
        <w:rPr>
          <w:sz w:val="24"/>
        </w:rPr>
        <w:t xml:space="preserve"> następujących tematów: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Ocena sposobu żywienia (2 pracownie)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Ocena jakości zdrowotnej i wartości odżywczej tłuszczów jadalnych</w:t>
      </w:r>
    </w:p>
    <w:p w:rsidR="005A6F91" w:rsidRDefault="00012885" w:rsidP="005A6F91">
      <w:pPr>
        <w:spacing w:line="360" w:lineRule="auto"/>
        <w:ind w:left="720"/>
        <w:jc w:val="both"/>
        <w:rPr>
          <w:b/>
          <w:bCs/>
          <w:sz w:val="24"/>
        </w:rPr>
      </w:pPr>
      <w:r>
        <w:rPr>
          <w:b/>
          <w:bCs/>
          <w:sz w:val="24"/>
        </w:rPr>
        <w:t>(1 pracownia</w:t>
      </w:r>
      <w:r w:rsidR="005A6F91">
        <w:rPr>
          <w:b/>
          <w:bCs/>
          <w:sz w:val="24"/>
        </w:rPr>
        <w:t>)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Ocena wartości odżywczej pożywienia – białko i witaminy (1 pracownia)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Węglowodany jako podstawowe źródło energii dla organizmu (2 pracownie)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Produkty spożywcze jako źródło składników mineralnych (2 pracownie)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I</w:t>
      </w:r>
      <w:r w:rsidR="00012885">
        <w:rPr>
          <w:b/>
          <w:bCs/>
          <w:sz w:val="24"/>
        </w:rPr>
        <w:t>nterakcje leków z pożywieniem (2 pracownie</w:t>
      </w:r>
      <w:r>
        <w:rPr>
          <w:b/>
          <w:bCs/>
          <w:sz w:val="24"/>
        </w:rPr>
        <w:t>)</w:t>
      </w:r>
    </w:p>
    <w:p w:rsidR="005A6F91" w:rsidRDefault="005A6F91" w:rsidP="005A6F9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Zanieczyszczenia żywności (1 pracownia)</w:t>
      </w:r>
    </w:p>
    <w:p w:rsidR="00A525E1" w:rsidRPr="009A70E0" w:rsidRDefault="00A525E1" w:rsidP="00A525E1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</w:rPr>
      </w:pPr>
      <w:r w:rsidRPr="009A70E0">
        <w:rPr>
          <w:b/>
          <w:bCs/>
          <w:sz w:val="24"/>
        </w:rPr>
        <w:t xml:space="preserve">Pobieranie i przygotowywanie próbek żywności do badań, etapy wstępne w analizie żywności </w:t>
      </w:r>
      <w:r>
        <w:rPr>
          <w:b/>
          <w:bCs/>
          <w:sz w:val="24"/>
        </w:rPr>
        <w:t>(łącznie z tematem 1.5)</w:t>
      </w:r>
    </w:p>
    <w:p w:rsidR="005A6F91" w:rsidRPr="008E45BF" w:rsidRDefault="00A525E1" w:rsidP="00A525E1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Studenci podzieleni są na 3 grupy ćwiczące raz w tygodniu. Każda grupa studentów ćwicząca w danym dniu podzielona jest na podgrupy.</w:t>
      </w:r>
    </w:p>
    <w:p w:rsidR="007D73BF" w:rsidRPr="006254FC" w:rsidRDefault="005077FA" w:rsidP="006254FC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>Program ćwiczeń</w:t>
      </w:r>
      <w:r w:rsidR="005A6F91">
        <w:rPr>
          <w:sz w:val="24"/>
        </w:rPr>
        <w:t xml:space="preserve"> poszerzony o wytyczne dotyczące obowiązującego materiału do kolokwiów: wstępnego i końcowego </w:t>
      </w:r>
      <w:r>
        <w:rPr>
          <w:sz w:val="24"/>
        </w:rPr>
        <w:t xml:space="preserve">oraz harmonogram zajęć </w:t>
      </w:r>
      <w:bookmarkStart w:id="0" w:name="_GoBack"/>
      <w:bookmarkEnd w:id="0"/>
      <w:r w:rsidR="005A6F91">
        <w:rPr>
          <w:sz w:val="24"/>
        </w:rPr>
        <w:t>wywieszony jest na tabl</w:t>
      </w:r>
      <w:r w:rsidR="00054D7D">
        <w:rPr>
          <w:sz w:val="24"/>
        </w:rPr>
        <w:t>icy ogłoszeń przed salą ćwiczeń oraz opublikowany na stronie internetowej Katedry.</w:t>
      </w:r>
      <w:r w:rsidR="005A6F91">
        <w:rPr>
          <w:sz w:val="24"/>
        </w:rPr>
        <w:t xml:space="preserve"> </w:t>
      </w:r>
      <w:r w:rsidR="0075650D">
        <w:rPr>
          <w:sz w:val="24"/>
        </w:rPr>
        <w:t xml:space="preserve">Student uzyskuje zaliczenie ćwiczeń po zaakceptowaniu przez prowadzących sprawozdań ze wszystkich wykonanych analiz oraz po zdaniu kolokwiów przewidzianych w regulaminie pracowni. </w:t>
      </w:r>
    </w:p>
    <w:p w:rsidR="005A6F91" w:rsidRDefault="007D73BF" w:rsidP="007D73B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D73BF">
        <w:rPr>
          <w:sz w:val="24"/>
          <w:szCs w:val="24"/>
        </w:rPr>
        <w:t>Student ma prawo do jednokrotnej poprawy kolokwium po uzgodnieniu terminu z prowadzącym przedmiot.</w:t>
      </w:r>
      <w:r>
        <w:rPr>
          <w:sz w:val="24"/>
          <w:szCs w:val="24"/>
        </w:rPr>
        <w:t xml:space="preserve"> </w:t>
      </w:r>
      <w:r w:rsidRPr="007D73BF">
        <w:rPr>
          <w:sz w:val="24"/>
          <w:szCs w:val="24"/>
        </w:rPr>
        <w:t xml:space="preserve">W przypadku niezaliczenia kolokwium, student ma prawo do przystąpienia do kolokwium z całości materiału objętego </w:t>
      </w:r>
      <w:r>
        <w:rPr>
          <w:sz w:val="24"/>
          <w:szCs w:val="24"/>
        </w:rPr>
        <w:t xml:space="preserve">programem ćwiczeń zgodnie </w:t>
      </w:r>
      <w:r w:rsidR="009042F9">
        <w:rPr>
          <w:sz w:val="24"/>
          <w:szCs w:val="24"/>
        </w:rPr>
        <w:br/>
      </w:r>
      <w:r>
        <w:rPr>
          <w:sz w:val="24"/>
          <w:szCs w:val="24"/>
        </w:rPr>
        <w:t>z</w:t>
      </w:r>
      <w:r w:rsidR="00054D7D">
        <w:rPr>
          <w:sz w:val="24"/>
          <w:szCs w:val="24"/>
        </w:rPr>
        <w:t xml:space="preserve"> </w:t>
      </w:r>
      <w:r>
        <w:rPr>
          <w:sz w:val="24"/>
          <w:szCs w:val="24"/>
        </w:rPr>
        <w:t>§ 34</w:t>
      </w:r>
      <w:r w:rsidR="009042F9">
        <w:rPr>
          <w:sz w:val="24"/>
          <w:szCs w:val="24"/>
        </w:rPr>
        <w:t xml:space="preserve"> pkt. 6</w:t>
      </w:r>
      <w:r>
        <w:rPr>
          <w:sz w:val="24"/>
          <w:szCs w:val="24"/>
        </w:rPr>
        <w:t xml:space="preserve"> regulaminu studiów.</w:t>
      </w:r>
    </w:p>
    <w:p w:rsidR="00B56231" w:rsidRPr="00B56231" w:rsidRDefault="00B56231" w:rsidP="00B56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6254FC">
        <w:rPr>
          <w:sz w:val="24"/>
          <w:szCs w:val="24"/>
        </w:rPr>
        <w:t xml:space="preserve">Student ma obowiązek zaliczyć wszystkie kolokwia i sprawozdania przewidziane w programie ćwiczeń najpóźniej </w:t>
      </w:r>
      <w:r>
        <w:rPr>
          <w:sz w:val="24"/>
          <w:szCs w:val="24"/>
        </w:rPr>
        <w:t xml:space="preserve">do 7 dni </w:t>
      </w:r>
      <w:r w:rsidRPr="006254FC">
        <w:rPr>
          <w:sz w:val="24"/>
          <w:szCs w:val="24"/>
        </w:rPr>
        <w:t>po zakończeniu ćwiczeń (z pominięciem pracowni uzupełniającej). W przypadku niedop</w:t>
      </w:r>
      <w:r>
        <w:rPr>
          <w:sz w:val="24"/>
          <w:szCs w:val="24"/>
        </w:rPr>
        <w:t>ełnienia tego obowiązku student</w:t>
      </w:r>
      <w:r w:rsidRPr="007D73BF">
        <w:rPr>
          <w:sz w:val="24"/>
          <w:szCs w:val="24"/>
        </w:rPr>
        <w:t xml:space="preserve"> ma prawo do przystąpienia do kolokwium z całości materiału objętego </w:t>
      </w:r>
      <w:r>
        <w:rPr>
          <w:sz w:val="24"/>
          <w:szCs w:val="24"/>
        </w:rPr>
        <w:t>programem przedmiotu</w:t>
      </w:r>
      <w:r w:rsidRPr="006254FC">
        <w:rPr>
          <w:sz w:val="24"/>
          <w:szCs w:val="24"/>
        </w:rPr>
        <w:t xml:space="preserve"> </w:t>
      </w:r>
      <w:r w:rsidR="009042F9">
        <w:rPr>
          <w:sz w:val="24"/>
          <w:szCs w:val="24"/>
        </w:rPr>
        <w:t>zgodnie z</w:t>
      </w:r>
      <w:r w:rsidR="00054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34 </w:t>
      </w:r>
      <w:r w:rsidR="009042F9">
        <w:rPr>
          <w:sz w:val="24"/>
          <w:szCs w:val="24"/>
        </w:rPr>
        <w:t xml:space="preserve">pkt. 6 </w:t>
      </w:r>
      <w:r>
        <w:rPr>
          <w:sz w:val="24"/>
          <w:szCs w:val="24"/>
        </w:rPr>
        <w:t>regulaminu studiów.</w:t>
      </w:r>
      <w:r w:rsidRPr="00B56231">
        <w:rPr>
          <w:sz w:val="24"/>
          <w:szCs w:val="24"/>
        </w:rPr>
        <w:t xml:space="preserve"> </w:t>
      </w:r>
      <w:r>
        <w:rPr>
          <w:sz w:val="24"/>
          <w:szCs w:val="24"/>
        </w:rPr>
        <w:t>Student nie zostaje dopuszczony do zdawania egzaminu w przypadku, gdy nie otrzymał wymaganych zaliczeń obejmujących ćwiczenia.</w:t>
      </w:r>
    </w:p>
    <w:p w:rsidR="009D2E7A" w:rsidRPr="00B56231" w:rsidRDefault="00054D7D" w:rsidP="00B562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Każda </w:t>
      </w:r>
      <w:r w:rsidR="009D2E7A" w:rsidRPr="00B56231">
        <w:rPr>
          <w:sz w:val="24"/>
        </w:rPr>
        <w:t xml:space="preserve">nieobecność </w:t>
      </w:r>
      <w:r>
        <w:rPr>
          <w:sz w:val="24"/>
        </w:rPr>
        <w:t xml:space="preserve">studenta na ćwiczeniach </w:t>
      </w:r>
      <w:r w:rsidR="009D2E7A" w:rsidRPr="00B56231">
        <w:rPr>
          <w:sz w:val="24"/>
        </w:rPr>
        <w:t>wymaga usprawiedliwienia i odrobienia zajęć</w:t>
      </w:r>
      <w:r w:rsidR="009042F9">
        <w:rPr>
          <w:sz w:val="24"/>
        </w:rPr>
        <w:t xml:space="preserve"> zgodnie z </w:t>
      </w:r>
      <w:r w:rsidR="009042F9">
        <w:rPr>
          <w:sz w:val="24"/>
          <w:szCs w:val="24"/>
        </w:rPr>
        <w:t>§ 13 pkt 4 regulaminu studiów</w:t>
      </w:r>
      <w:r w:rsidR="009D2E7A" w:rsidRPr="00B56231">
        <w:rPr>
          <w:sz w:val="24"/>
        </w:rPr>
        <w:t>, w planie ćwiczeń podano terminy ćwiczeń uzupełniających.</w:t>
      </w:r>
    </w:p>
    <w:p w:rsidR="006254FC" w:rsidRPr="006254FC" w:rsidRDefault="005A6F91" w:rsidP="0075650D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254FC">
        <w:rPr>
          <w:sz w:val="24"/>
        </w:rPr>
        <w:t xml:space="preserve">Student zobowiązany jest do pisemnego złożenia sprawozdania z przebiegu oznaczeń laboratoryjnych. </w:t>
      </w:r>
      <w:r w:rsidR="00145267" w:rsidRPr="006254FC">
        <w:rPr>
          <w:sz w:val="24"/>
        </w:rPr>
        <w:t>Sprawozdania</w:t>
      </w:r>
      <w:r w:rsidR="007A3B38" w:rsidRPr="006254FC">
        <w:rPr>
          <w:sz w:val="24"/>
        </w:rPr>
        <w:t xml:space="preserve"> należy sporządzić na </w:t>
      </w:r>
      <w:r w:rsidR="00145267" w:rsidRPr="006254FC">
        <w:rPr>
          <w:sz w:val="24"/>
        </w:rPr>
        <w:t>formularzach dostępnych n</w:t>
      </w:r>
      <w:r w:rsidR="007D73BF" w:rsidRPr="006254FC">
        <w:rPr>
          <w:sz w:val="24"/>
        </w:rPr>
        <w:t>a stronie internetowej Katedry i</w:t>
      </w:r>
      <w:r w:rsidRPr="006254FC">
        <w:rPr>
          <w:sz w:val="24"/>
        </w:rPr>
        <w:t xml:space="preserve"> złożyć </w:t>
      </w:r>
      <w:r w:rsidR="005B7864" w:rsidRPr="006254FC">
        <w:rPr>
          <w:sz w:val="24"/>
        </w:rPr>
        <w:t xml:space="preserve">najpóźniej w ciągu 7 dni </w:t>
      </w:r>
      <w:r w:rsidR="007D73BF" w:rsidRPr="006254FC">
        <w:rPr>
          <w:sz w:val="24"/>
        </w:rPr>
        <w:t xml:space="preserve">od czasu zakończenia ćwiczenia. </w:t>
      </w:r>
      <w:r w:rsidR="00852303" w:rsidRPr="006254FC">
        <w:rPr>
          <w:b/>
          <w:sz w:val="24"/>
          <w:u w:val="single"/>
        </w:rPr>
        <w:t>W</w:t>
      </w:r>
      <w:r w:rsidR="005B7864" w:rsidRPr="006254FC">
        <w:rPr>
          <w:b/>
          <w:sz w:val="24"/>
          <w:u w:val="single"/>
        </w:rPr>
        <w:t xml:space="preserve"> przypadku nie uzyskania zaliczenia sprawozdania student ma obowiązek o</w:t>
      </w:r>
      <w:r w:rsidR="00ED258F" w:rsidRPr="006254FC">
        <w:rPr>
          <w:b/>
          <w:sz w:val="24"/>
          <w:u w:val="single"/>
        </w:rPr>
        <w:t>d</w:t>
      </w:r>
      <w:r w:rsidR="005B7864" w:rsidRPr="006254FC">
        <w:rPr>
          <w:b/>
          <w:sz w:val="24"/>
          <w:u w:val="single"/>
        </w:rPr>
        <w:t>dać poprawione sprawozdanie w ciągu 7 dni od otrzymania informacji</w:t>
      </w:r>
      <w:r w:rsidR="00ED258F" w:rsidRPr="006254FC">
        <w:rPr>
          <w:b/>
          <w:sz w:val="24"/>
          <w:u w:val="single"/>
        </w:rPr>
        <w:t xml:space="preserve"> </w:t>
      </w:r>
      <w:r w:rsidR="00ED258F" w:rsidRPr="006254FC">
        <w:rPr>
          <w:b/>
          <w:sz w:val="24"/>
          <w:u w:val="single"/>
        </w:rPr>
        <w:br/>
      </w:r>
      <w:r w:rsidR="005B7864" w:rsidRPr="006254FC">
        <w:rPr>
          <w:b/>
          <w:sz w:val="24"/>
          <w:u w:val="single"/>
        </w:rPr>
        <w:t>o niezaliczeniu sprawozdania.</w:t>
      </w:r>
      <w:r w:rsidR="006254FC" w:rsidRPr="006254FC">
        <w:rPr>
          <w:sz w:val="24"/>
          <w:szCs w:val="24"/>
        </w:rPr>
        <w:t xml:space="preserve"> </w:t>
      </w:r>
    </w:p>
    <w:p w:rsidR="005A6F91" w:rsidRDefault="005A6F91" w:rsidP="005A6F91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Starosta grupy ćwiczącej w danym dniu wyznacza 2 osoby dyżurne, których zadaniem jest dopilnowanie porządku na sali ćwiczeń. Zakres obowiązków dyżurnych przedstawia załącznik nr 1.</w:t>
      </w:r>
    </w:p>
    <w:p w:rsidR="004C6C12" w:rsidRPr="004C6C12" w:rsidRDefault="005A6F91" w:rsidP="004C6C1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4C6C12">
        <w:rPr>
          <w:b/>
          <w:bCs/>
          <w:sz w:val="24"/>
        </w:rPr>
        <w:t>Podczas ćwiczeń laboratoryjnych student zobowiązany jes</w:t>
      </w:r>
      <w:r w:rsidR="00852303" w:rsidRPr="004C6C12">
        <w:rPr>
          <w:b/>
          <w:bCs/>
          <w:sz w:val="24"/>
        </w:rPr>
        <w:t>t do pracy w fartuchu ochronnym i</w:t>
      </w:r>
      <w:r w:rsidRPr="004C6C12">
        <w:rPr>
          <w:b/>
          <w:bCs/>
          <w:sz w:val="24"/>
        </w:rPr>
        <w:t xml:space="preserve"> w </w:t>
      </w:r>
      <w:r w:rsidRPr="004C6C12">
        <w:rPr>
          <w:b/>
          <w:bCs/>
          <w:sz w:val="24"/>
          <w:u w:val="single"/>
        </w:rPr>
        <w:t>obuwiu zmiennym</w:t>
      </w:r>
      <w:r w:rsidRPr="004C6C12">
        <w:rPr>
          <w:b/>
          <w:bCs/>
          <w:sz w:val="24"/>
        </w:rPr>
        <w:t xml:space="preserve"> gwa</w:t>
      </w:r>
      <w:r w:rsidR="00852303" w:rsidRPr="004C6C12">
        <w:rPr>
          <w:b/>
          <w:bCs/>
          <w:sz w:val="24"/>
        </w:rPr>
        <w:t>rantującym bezpieczeństwo pracy</w:t>
      </w:r>
      <w:r w:rsidR="00C23796">
        <w:rPr>
          <w:b/>
          <w:bCs/>
          <w:sz w:val="24"/>
        </w:rPr>
        <w:t>.</w:t>
      </w:r>
      <w:r w:rsidR="00C23796" w:rsidRPr="00C23796">
        <w:rPr>
          <w:sz w:val="24"/>
          <w:szCs w:val="24"/>
        </w:rPr>
        <w:t xml:space="preserve"> </w:t>
      </w:r>
      <w:r w:rsidR="00C23796">
        <w:rPr>
          <w:sz w:val="24"/>
          <w:szCs w:val="24"/>
        </w:rPr>
        <w:t>Podczas wykonywania procedur z użyciem stężonych kwasów i zasad student zobowiązany jest do pracy w okularach ochronnych.</w:t>
      </w:r>
      <w:r w:rsidR="004C6C12" w:rsidRPr="004C6C12">
        <w:rPr>
          <w:b/>
          <w:sz w:val="24"/>
          <w:szCs w:val="24"/>
        </w:rPr>
        <w:t xml:space="preserve"> </w:t>
      </w:r>
      <w:r w:rsidR="004C6C12">
        <w:rPr>
          <w:sz w:val="24"/>
          <w:szCs w:val="24"/>
        </w:rPr>
        <w:t xml:space="preserve">Włosy powinny być związane, a </w:t>
      </w:r>
      <w:r w:rsidR="004C6C12" w:rsidRPr="004C6C12">
        <w:rPr>
          <w:sz w:val="24"/>
          <w:szCs w:val="24"/>
        </w:rPr>
        <w:t xml:space="preserve">okrycie wierzchnie, jak </w:t>
      </w:r>
      <w:r w:rsidR="004C6C12">
        <w:rPr>
          <w:sz w:val="24"/>
          <w:szCs w:val="24"/>
        </w:rPr>
        <w:t>i duże torby należy pozostawić</w:t>
      </w:r>
      <w:r w:rsidR="004C6C12" w:rsidRPr="004C6C12">
        <w:rPr>
          <w:sz w:val="24"/>
          <w:szCs w:val="24"/>
        </w:rPr>
        <w:t xml:space="preserve"> w szatni.</w:t>
      </w:r>
      <w:r w:rsidR="004B47F4">
        <w:rPr>
          <w:sz w:val="24"/>
          <w:szCs w:val="24"/>
        </w:rPr>
        <w:t xml:space="preserve"> </w:t>
      </w:r>
      <w:r w:rsidR="004C6C12" w:rsidRPr="004C6C12">
        <w:rPr>
          <w:sz w:val="24"/>
          <w:szCs w:val="24"/>
        </w:rPr>
        <w:t xml:space="preserve">Student nie spełniający </w:t>
      </w:r>
      <w:r w:rsidR="00725A8F">
        <w:rPr>
          <w:sz w:val="24"/>
          <w:szCs w:val="24"/>
        </w:rPr>
        <w:t xml:space="preserve">powyższych </w:t>
      </w:r>
      <w:r w:rsidR="004C6C12" w:rsidRPr="004C6C12">
        <w:rPr>
          <w:sz w:val="24"/>
          <w:szCs w:val="24"/>
        </w:rPr>
        <w:t xml:space="preserve">wymogów nie zostaje dopuszczony do zajęć, co jest równoznaczne z nieobecnością na zajęciach. </w:t>
      </w:r>
    </w:p>
    <w:p w:rsidR="004C6C12" w:rsidRPr="00CE46E0" w:rsidRDefault="004C6C12" w:rsidP="004C6C12">
      <w:pPr>
        <w:numPr>
          <w:ilvl w:val="0"/>
          <w:numId w:val="2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Na sali ćwiczeń zabronione jest spożywanie posiłków i napojów.</w:t>
      </w:r>
    </w:p>
    <w:p w:rsidR="004C6C12" w:rsidRDefault="005A6F91" w:rsidP="004C6C12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4C6C12">
        <w:rPr>
          <w:sz w:val="24"/>
          <w:szCs w:val="24"/>
        </w:rPr>
        <w:t xml:space="preserve">Przed przystąpieniem do ćwiczeń, na pierwszej pracowni przydzielane są studentom szafki ze sprzętem laboratoryjnym </w:t>
      </w:r>
      <w:r w:rsidR="004C6C12" w:rsidRPr="004C6C12">
        <w:rPr>
          <w:sz w:val="24"/>
          <w:szCs w:val="24"/>
        </w:rPr>
        <w:t xml:space="preserve">i kluczyki </w:t>
      </w:r>
      <w:r w:rsidRPr="004C6C12">
        <w:rPr>
          <w:sz w:val="24"/>
          <w:szCs w:val="24"/>
        </w:rPr>
        <w:t>oraz omawiany jest regulamin pracowni.</w:t>
      </w:r>
      <w:r w:rsidR="004C6C12" w:rsidRPr="004C6C12">
        <w:rPr>
          <w:sz w:val="24"/>
          <w:szCs w:val="24"/>
        </w:rPr>
        <w:t xml:space="preserve"> Student potwierdza na rewersie podpisem odbiór kluczyka do szafki oraz stan wyposażenia. Po zakończonych ćwiczeniach student ma obowiązek </w:t>
      </w:r>
      <w:r w:rsidR="004C6C12" w:rsidRPr="004C6C12">
        <w:rPr>
          <w:b/>
          <w:sz w:val="24"/>
          <w:szCs w:val="24"/>
          <w:u w:val="single"/>
        </w:rPr>
        <w:t>rozliczyć się z pobranego sprzętu</w:t>
      </w:r>
      <w:r w:rsidR="004C6C12" w:rsidRPr="004C6C12">
        <w:rPr>
          <w:sz w:val="24"/>
          <w:szCs w:val="24"/>
        </w:rPr>
        <w:t xml:space="preserve"> oraz zdać kluczyki do szafki laboratoryjnej z </w:t>
      </w:r>
      <w:r w:rsidR="004C6C12" w:rsidRPr="004C6C12">
        <w:rPr>
          <w:b/>
          <w:sz w:val="24"/>
          <w:szCs w:val="24"/>
          <w:u w:val="single"/>
        </w:rPr>
        <w:t>czystym szkłem</w:t>
      </w:r>
      <w:r w:rsidR="004C6C12" w:rsidRPr="004C6C12">
        <w:rPr>
          <w:sz w:val="24"/>
          <w:szCs w:val="24"/>
        </w:rPr>
        <w:t xml:space="preserve"> w terminie </w:t>
      </w:r>
      <w:r w:rsidR="004C6C12" w:rsidRPr="004C6C12">
        <w:rPr>
          <w:b/>
          <w:sz w:val="24"/>
          <w:szCs w:val="24"/>
          <w:u w:val="single"/>
        </w:rPr>
        <w:t>do 7 dni</w:t>
      </w:r>
      <w:r w:rsidR="004C6C12" w:rsidRPr="004C6C12">
        <w:rPr>
          <w:sz w:val="24"/>
          <w:szCs w:val="24"/>
        </w:rPr>
        <w:t xml:space="preserve"> po zakończeniu ćwiczeń.</w:t>
      </w:r>
    </w:p>
    <w:p w:rsidR="004C6C12" w:rsidRPr="004C6C12" w:rsidRDefault="004C6C12" w:rsidP="004C6C12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4C6C12">
        <w:rPr>
          <w:sz w:val="24"/>
          <w:szCs w:val="24"/>
        </w:rPr>
        <w:t>W przypadku zagubienia kluczyka student ma obowiązek zgłosić się do pracownika laboratoryjno-technicznego celem uzyskania kodu kluczyka, a następnie dorobić i oddać duplikat kluczyka.</w:t>
      </w:r>
    </w:p>
    <w:p w:rsidR="004C6C12" w:rsidRPr="00841375" w:rsidRDefault="004C6C12" w:rsidP="004C6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Student, w którego szafce pracownik laboratoryjno-techniczny stwierdzi brak lub uszkodzenie sprzętu laboratoryjnego jest zobowiązany zwrócić rzeczony sprzęt.  </w:t>
      </w:r>
    </w:p>
    <w:p w:rsidR="004C6C12" w:rsidRDefault="004C6C12" w:rsidP="004C6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Student, który nie rozliczył się z pobranego sprzętu oraz nie oddał w wymaganym terminie szafki może zostać dopuszczony warunkowo do egzaminu, jednak nie otrzyma wpisu do indeksu do momentu rozliczenia się z powyższych zaległości.</w:t>
      </w:r>
    </w:p>
    <w:p w:rsidR="00FE2DBE" w:rsidRDefault="00FE2DBE" w:rsidP="004C6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 może kontaktować się z pracownikiem katedry drogą elektroniczną </w:t>
      </w:r>
      <w:r w:rsidRPr="00820214">
        <w:rPr>
          <w:b/>
          <w:sz w:val="24"/>
          <w:szCs w:val="24"/>
        </w:rPr>
        <w:t>wyłącznie poprzez</w:t>
      </w:r>
      <w:r w:rsidR="00F63E2C" w:rsidRPr="00820214">
        <w:rPr>
          <w:b/>
          <w:sz w:val="24"/>
          <w:szCs w:val="24"/>
        </w:rPr>
        <w:t xml:space="preserve"> adres mailowy z domeną uczelni</w:t>
      </w:r>
      <w:r w:rsidR="00F63E2C">
        <w:rPr>
          <w:sz w:val="24"/>
          <w:szCs w:val="24"/>
        </w:rPr>
        <w:t xml:space="preserve"> zgodnie z zarządzeniem Rektora nr 93/XV R/2018.</w:t>
      </w:r>
    </w:p>
    <w:p w:rsidR="004C6C12" w:rsidRDefault="004C6C12" w:rsidP="004C6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zasady pracy w sali ćwiczeniowej określa załącznik 1.</w:t>
      </w:r>
    </w:p>
    <w:p w:rsidR="00B56231" w:rsidRPr="00FE2DBE" w:rsidRDefault="004C6C12" w:rsidP="00FE2D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wyniknięcia kwestii nieuwzględnionych w niniejszym regulaminie ostateczną decyzję podejmuje adiunkt dydaktyczny i/lub koordynator przedmiotu w porozumieniu z kierownikiem Katedry.</w:t>
      </w:r>
    </w:p>
    <w:p w:rsidR="00AD6B20" w:rsidRPr="009042F9" w:rsidRDefault="00AD6B20" w:rsidP="00A2003E">
      <w:pPr>
        <w:jc w:val="both"/>
        <w:rPr>
          <w:b/>
          <w:sz w:val="22"/>
          <w:szCs w:val="22"/>
        </w:rPr>
      </w:pPr>
      <w:r w:rsidRPr="009042F9">
        <w:rPr>
          <w:b/>
          <w:sz w:val="22"/>
          <w:szCs w:val="22"/>
        </w:rPr>
        <w:t>ZAŁĄCZNIK 1</w:t>
      </w:r>
    </w:p>
    <w:p w:rsidR="009266FE" w:rsidRPr="009042F9" w:rsidRDefault="009266FE" w:rsidP="00A2003E">
      <w:pPr>
        <w:jc w:val="both"/>
        <w:rPr>
          <w:b/>
          <w:sz w:val="22"/>
          <w:szCs w:val="22"/>
        </w:rPr>
      </w:pPr>
    </w:p>
    <w:p w:rsidR="009266FE" w:rsidRPr="009042F9" w:rsidRDefault="00AD6B20" w:rsidP="00A2003E">
      <w:pPr>
        <w:jc w:val="both"/>
        <w:rPr>
          <w:b/>
          <w:sz w:val="22"/>
          <w:szCs w:val="22"/>
        </w:rPr>
      </w:pPr>
      <w:r w:rsidRPr="009042F9">
        <w:rPr>
          <w:b/>
          <w:sz w:val="22"/>
          <w:szCs w:val="22"/>
        </w:rPr>
        <w:t>OGÓLNE ZASADY</w:t>
      </w:r>
      <w:r w:rsidR="00AB6B13" w:rsidRPr="009042F9">
        <w:rPr>
          <w:b/>
          <w:sz w:val="22"/>
          <w:szCs w:val="22"/>
        </w:rPr>
        <w:t xml:space="preserve"> PORZĄDKU NA SALI ĆWICZEŃ </w:t>
      </w:r>
    </w:p>
    <w:p w:rsidR="00C8731B" w:rsidRPr="009042F9" w:rsidRDefault="00C8731B" w:rsidP="00A2003E">
      <w:pPr>
        <w:jc w:val="both"/>
        <w:rPr>
          <w:b/>
          <w:sz w:val="22"/>
          <w:szCs w:val="22"/>
        </w:rPr>
      </w:pPr>
    </w:p>
    <w:p w:rsidR="00AD6B20" w:rsidRPr="009042F9" w:rsidRDefault="00AD6B20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KAŻDY STUDENT</w:t>
      </w:r>
      <w:r w:rsidRPr="009042F9">
        <w:rPr>
          <w:b/>
          <w:sz w:val="22"/>
          <w:szCs w:val="22"/>
        </w:rPr>
        <w:t xml:space="preserve"> </w:t>
      </w:r>
      <w:r w:rsidRPr="009042F9">
        <w:rPr>
          <w:sz w:val="22"/>
          <w:szCs w:val="22"/>
        </w:rPr>
        <w:t>jest zobowiązany do pozost</w:t>
      </w:r>
      <w:r w:rsidR="009266FE" w:rsidRPr="009042F9">
        <w:rPr>
          <w:sz w:val="22"/>
          <w:szCs w:val="22"/>
        </w:rPr>
        <w:t>awienia po swojej pracy porządku,</w:t>
      </w:r>
      <w:r w:rsidRPr="009042F9">
        <w:rPr>
          <w:sz w:val="22"/>
          <w:szCs w:val="22"/>
        </w:rPr>
        <w:t xml:space="preserve"> w tym do:</w:t>
      </w:r>
    </w:p>
    <w:p w:rsidR="00AD6B20" w:rsidRPr="009042F9" w:rsidRDefault="00AD6B20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 xml:space="preserve">-starannego umycia </w:t>
      </w:r>
      <w:r w:rsidR="009266FE" w:rsidRPr="009042F9">
        <w:rPr>
          <w:sz w:val="22"/>
          <w:szCs w:val="22"/>
        </w:rPr>
        <w:t xml:space="preserve">używanego </w:t>
      </w:r>
      <w:r w:rsidRPr="009042F9">
        <w:rPr>
          <w:sz w:val="22"/>
          <w:szCs w:val="22"/>
        </w:rPr>
        <w:t>szkła laboratoryjnego</w:t>
      </w:r>
      <w:r w:rsidR="009266FE" w:rsidRPr="009042F9">
        <w:rPr>
          <w:sz w:val="22"/>
          <w:szCs w:val="22"/>
        </w:rPr>
        <w:t xml:space="preserve">, zarówno ze swojej szafki, jak i szkła ogólnodostępnego, które używał. Szkło ogólnodostępne po umyciu należy wstawić do metalowych koszyków </w:t>
      </w:r>
      <w:r w:rsidR="0081144B" w:rsidRPr="009042F9">
        <w:rPr>
          <w:sz w:val="22"/>
          <w:szCs w:val="22"/>
        </w:rPr>
        <w:t>przy zlewach;</w:t>
      </w:r>
    </w:p>
    <w:p w:rsidR="00F85B9D" w:rsidRPr="009042F9" w:rsidRDefault="00F85B9D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 xml:space="preserve">-odstawienia zamkniętych szczelnie butelek z odczynnikami </w:t>
      </w:r>
      <w:r w:rsidR="0081144B" w:rsidRPr="009042F9">
        <w:rPr>
          <w:sz w:val="22"/>
          <w:szCs w:val="22"/>
        </w:rPr>
        <w:t xml:space="preserve">w wyznaczone miejsca; </w:t>
      </w:r>
    </w:p>
    <w:p w:rsidR="00F85B9D" w:rsidRPr="009042F9" w:rsidRDefault="00F85B9D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uprzątnięcia wszelkich pozostałości po swojej pracy (m.in.</w:t>
      </w:r>
      <w:r w:rsidR="00C8731B" w:rsidRPr="009042F9">
        <w:rPr>
          <w:sz w:val="22"/>
          <w:szCs w:val="22"/>
        </w:rPr>
        <w:t xml:space="preserve"> zlania</w:t>
      </w:r>
      <w:r w:rsidRPr="009042F9">
        <w:rPr>
          <w:sz w:val="22"/>
          <w:szCs w:val="22"/>
        </w:rPr>
        <w:t xml:space="preserve"> resztek roztworów organicznych do oznaczonych butli, a roztworów nieorganicznych do zlewu w strumieniu wody);</w:t>
      </w:r>
    </w:p>
    <w:p w:rsidR="00A2003E" w:rsidRPr="009042F9" w:rsidRDefault="00F85B9D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z</w:t>
      </w:r>
      <w:r w:rsidR="0081144B" w:rsidRPr="009042F9">
        <w:rPr>
          <w:sz w:val="22"/>
          <w:szCs w:val="22"/>
        </w:rPr>
        <w:t>amknięcia sz</w:t>
      </w:r>
      <w:r w:rsidR="00A2003E" w:rsidRPr="009042F9">
        <w:rPr>
          <w:sz w:val="22"/>
          <w:szCs w:val="22"/>
        </w:rPr>
        <w:t>a</w:t>
      </w:r>
      <w:r w:rsidR="0081144B" w:rsidRPr="009042F9">
        <w:rPr>
          <w:sz w:val="22"/>
          <w:szCs w:val="22"/>
        </w:rPr>
        <w:t xml:space="preserve">fki i zwrotu klucza do opisanego </w:t>
      </w:r>
      <w:r w:rsidR="00A2003E" w:rsidRPr="009042F9">
        <w:rPr>
          <w:sz w:val="22"/>
          <w:szCs w:val="22"/>
        </w:rPr>
        <w:t>pojemnika.</w:t>
      </w:r>
    </w:p>
    <w:p w:rsidR="003177AC" w:rsidRPr="009042F9" w:rsidRDefault="003177AC" w:rsidP="00C8731B">
      <w:pPr>
        <w:jc w:val="both"/>
        <w:rPr>
          <w:sz w:val="22"/>
          <w:szCs w:val="22"/>
        </w:rPr>
      </w:pPr>
    </w:p>
    <w:p w:rsidR="0081144B" w:rsidRPr="009042F9" w:rsidRDefault="00A2003E" w:rsidP="00C8731B">
      <w:pPr>
        <w:jc w:val="both"/>
        <w:rPr>
          <w:b/>
          <w:sz w:val="22"/>
          <w:szCs w:val="22"/>
        </w:rPr>
      </w:pPr>
      <w:r w:rsidRPr="009042F9">
        <w:rPr>
          <w:b/>
          <w:sz w:val="22"/>
          <w:szCs w:val="22"/>
        </w:rPr>
        <w:t>ZAKRES OBOWIĄZKÓW DYŻURNYCH</w:t>
      </w:r>
    </w:p>
    <w:p w:rsidR="00C8731B" w:rsidRPr="009042F9" w:rsidRDefault="00C8731B" w:rsidP="00C8731B">
      <w:pPr>
        <w:jc w:val="both"/>
        <w:rPr>
          <w:b/>
          <w:sz w:val="22"/>
          <w:szCs w:val="22"/>
        </w:rPr>
      </w:pPr>
    </w:p>
    <w:p w:rsidR="00A2003E" w:rsidRPr="009042F9" w:rsidRDefault="00A2003E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OSOBY DYŻURUJĄCE doglądają, czy w/w obowiązki zostały wykonane, w przypadku trudności w ustaleniu osoby odpowiedzialnej za pozostawione brudne szkło czy bałagan, dyżurni muszą sami uporządkować dane miejsce.</w:t>
      </w:r>
    </w:p>
    <w:p w:rsidR="0081144B" w:rsidRPr="009042F9" w:rsidRDefault="00C8731B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Dyżurni</w:t>
      </w:r>
      <w:r w:rsidR="0081144B" w:rsidRPr="009042F9">
        <w:rPr>
          <w:sz w:val="22"/>
          <w:szCs w:val="22"/>
        </w:rPr>
        <w:t xml:space="preserve"> powinni zwrócić uwagę po zakończeniu ćwiczeń na stan niżej wymienionych obszarów w laboratorium oraz dopilnować wykonania wyszczególnionych niżej prac porządkowych:</w:t>
      </w:r>
    </w:p>
    <w:p w:rsidR="00C8731B" w:rsidRPr="009042F9" w:rsidRDefault="00C8731B" w:rsidP="00C8731B">
      <w:pPr>
        <w:jc w:val="both"/>
        <w:rPr>
          <w:sz w:val="22"/>
          <w:szCs w:val="22"/>
        </w:rPr>
      </w:pPr>
    </w:p>
    <w:p w:rsidR="0081144B" w:rsidRPr="009042F9" w:rsidRDefault="00A2003E" w:rsidP="00C8731B">
      <w:pPr>
        <w:jc w:val="both"/>
        <w:rPr>
          <w:b/>
          <w:sz w:val="22"/>
          <w:szCs w:val="22"/>
        </w:rPr>
      </w:pPr>
      <w:r w:rsidRPr="009042F9">
        <w:rPr>
          <w:b/>
          <w:sz w:val="22"/>
          <w:szCs w:val="22"/>
        </w:rPr>
        <w:t xml:space="preserve">I. </w:t>
      </w:r>
      <w:r w:rsidR="0081144B" w:rsidRPr="009042F9">
        <w:rPr>
          <w:b/>
          <w:sz w:val="22"/>
          <w:szCs w:val="22"/>
        </w:rPr>
        <w:t>OBSZAR BLATÓW LABORATORYJNYCH NA SALI:</w:t>
      </w:r>
    </w:p>
    <w:p w:rsidR="0081144B" w:rsidRPr="009042F9" w:rsidRDefault="0081144B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 xml:space="preserve">–blaty </w:t>
      </w:r>
      <w:r w:rsidR="00C8731B" w:rsidRPr="009042F9">
        <w:rPr>
          <w:sz w:val="22"/>
          <w:szCs w:val="22"/>
        </w:rPr>
        <w:t xml:space="preserve">powinny być uprzątnięte </w:t>
      </w:r>
      <w:r w:rsidRPr="009042F9">
        <w:rPr>
          <w:sz w:val="22"/>
          <w:szCs w:val="22"/>
        </w:rPr>
        <w:t>(oprócz urządzeń i wypo</w:t>
      </w:r>
      <w:r w:rsidR="00A2003E" w:rsidRPr="009042F9">
        <w:rPr>
          <w:sz w:val="22"/>
          <w:szCs w:val="22"/>
        </w:rPr>
        <w:t>s</w:t>
      </w:r>
      <w:r w:rsidRPr="009042F9">
        <w:rPr>
          <w:sz w:val="22"/>
          <w:szCs w:val="22"/>
        </w:rPr>
        <w:t>ażenia stanowiskowego);</w:t>
      </w:r>
    </w:p>
    <w:p w:rsidR="0081144B" w:rsidRPr="009042F9" w:rsidRDefault="0081144B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 xml:space="preserve">–butelki z odczynnikami przypisanymi do </w:t>
      </w:r>
      <w:r w:rsidR="00A2003E" w:rsidRPr="009042F9">
        <w:rPr>
          <w:sz w:val="22"/>
          <w:szCs w:val="22"/>
        </w:rPr>
        <w:t>danego stanowiska powinny wrócić</w:t>
      </w:r>
      <w:r w:rsidRPr="009042F9">
        <w:rPr>
          <w:sz w:val="22"/>
          <w:szCs w:val="22"/>
        </w:rPr>
        <w:t xml:space="preserve"> na </w:t>
      </w:r>
      <w:r w:rsidR="00C8731B" w:rsidRPr="009042F9">
        <w:rPr>
          <w:sz w:val="22"/>
          <w:szCs w:val="22"/>
        </w:rPr>
        <w:t>półki;</w:t>
      </w:r>
    </w:p>
    <w:p w:rsidR="0081144B" w:rsidRPr="009042F9" w:rsidRDefault="00EE176D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-korki</w:t>
      </w:r>
      <w:r w:rsidR="00C8731B" w:rsidRPr="009042F9">
        <w:rPr>
          <w:sz w:val="22"/>
          <w:szCs w:val="22"/>
        </w:rPr>
        <w:t>,</w:t>
      </w:r>
      <w:r w:rsidRPr="009042F9">
        <w:rPr>
          <w:sz w:val="22"/>
          <w:szCs w:val="22"/>
        </w:rPr>
        <w:t xml:space="preserve"> statywy na probó</w:t>
      </w:r>
      <w:r w:rsidR="00A2003E" w:rsidRPr="009042F9">
        <w:rPr>
          <w:sz w:val="22"/>
          <w:szCs w:val="22"/>
        </w:rPr>
        <w:t>wki i inny sprzęt powinny wrócić do wyz</w:t>
      </w:r>
      <w:r w:rsidRPr="009042F9">
        <w:rPr>
          <w:sz w:val="22"/>
          <w:szCs w:val="22"/>
        </w:rPr>
        <w:t>naczonych miejsc;</w:t>
      </w:r>
    </w:p>
    <w:p w:rsidR="00EE176D" w:rsidRPr="009042F9" w:rsidRDefault="00EE176D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– kosze metalowe z umytym szkłem należy wstawić do suszarki na sali ćwiczeń;</w:t>
      </w:r>
    </w:p>
    <w:p w:rsidR="00EE176D" w:rsidRPr="009042F9" w:rsidRDefault="00EE176D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szkło po anali</w:t>
      </w:r>
      <w:r w:rsidR="00A2003E" w:rsidRPr="009042F9">
        <w:rPr>
          <w:sz w:val="22"/>
          <w:szCs w:val="22"/>
        </w:rPr>
        <w:t>zach tłuszczów należy przepłukać</w:t>
      </w:r>
      <w:r w:rsidRPr="009042F9">
        <w:rPr>
          <w:sz w:val="22"/>
          <w:szCs w:val="22"/>
        </w:rPr>
        <w:t xml:space="preserve"> rozpuszczalnikiem pod wyciągiem </w:t>
      </w:r>
      <w:r w:rsidR="00A2003E" w:rsidRPr="009042F9">
        <w:rPr>
          <w:sz w:val="22"/>
          <w:szCs w:val="22"/>
        </w:rPr>
        <w:t>(</w:t>
      </w:r>
      <w:r w:rsidR="00AB6B13" w:rsidRPr="009042F9">
        <w:rPr>
          <w:sz w:val="22"/>
          <w:szCs w:val="22"/>
        </w:rPr>
        <w:t>informacje na temat rodzaju rozpuszczalnika u pracownika inżynieryjno-technicznego)</w:t>
      </w:r>
      <w:r w:rsidR="0076059E" w:rsidRPr="009042F9">
        <w:rPr>
          <w:sz w:val="22"/>
          <w:szCs w:val="22"/>
        </w:rPr>
        <w:t xml:space="preserve"> i dokładnie umyć;</w:t>
      </w:r>
    </w:p>
    <w:p w:rsidR="00AB6B13" w:rsidRPr="009042F9" w:rsidRDefault="00A2003E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należy wytrzeć</w:t>
      </w:r>
      <w:r w:rsidR="00AB6B13" w:rsidRPr="009042F9">
        <w:rPr>
          <w:sz w:val="22"/>
          <w:szCs w:val="22"/>
        </w:rPr>
        <w:t xml:space="preserve"> mokre cz</w:t>
      </w:r>
      <w:r w:rsidRPr="009042F9">
        <w:rPr>
          <w:sz w:val="22"/>
          <w:szCs w:val="22"/>
        </w:rPr>
        <w:t>ę</w:t>
      </w:r>
      <w:r w:rsidR="00AB6B13" w:rsidRPr="009042F9">
        <w:rPr>
          <w:sz w:val="22"/>
          <w:szCs w:val="22"/>
        </w:rPr>
        <w:t>ści blatów koło zlewozmywaków;</w:t>
      </w:r>
    </w:p>
    <w:p w:rsidR="00C8731B" w:rsidRPr="009042F9" w:rsidRDefault="00C8731B" w:rsidP="00C8731B">
      <w:pPr>
        <w:jc w:val="both"/>
        <w:rPr>
          <w:sz w:val="22"/>
          <w:szCs w:val="22"/>
        </w:rPr>
      </w:pPr>
    </w:p>
    <w:p w:rsidR="00AB6B13" w:rsidRPr="009042F9" w:rsidRDefault="00AB6B13" w:rsidP="00C8731B">
      <w:pPr>
        <w:jc w:val="both"/>
        <w:rPr>
          <w:sz w:val="22"/>
          <w:szCs w:val="22"/>
        </w:rPr>
      </w:pPr>
      <w:r w:rsidRPr="009042F9">
        <w:rPr>
          <w:b/>
          <w:sz w:val="22"/>
          <w:szCs w:val="22"/>
        </w:rPr>
        <w:t>II. OBSZAR DIGESTORIÓW</w:t>
      </w:r>
      <w:r w:rsidRPr="009042F9">
        <w:rPr>
          <w:sz w:val="22"/>
          <w:szCs w:val="22"/>
        </w:rPr>
        <w:t>:</w:t>
      </w:r>
    </w:p>
    <w:p w:rsidR="00AB6B13" w:rsidRPr="009042F9" w:rsidRDefault="00AB6B13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ustawić odczynniki w miejscach peryferyjnych wyciągów;</w:t>
      </w:r>
    </w:p>
    <w:p w:rsidR="00AB6B13" w:rsidRPr="009042F9" w:rsidRDefault="00AB6B13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umieścić</w:t>
      </w:r>
      <w:r w:rsidR="00A2003E" w:rsidRPr="009042F9">
        <w:rPr>
          <w:sz w:val="22"/>
          <w:szCs w:val="22"/>
        </w:rPr>
        <w:t xml:space="preserve"> pipety na stojakach us</w:t>
      </w:r>
      <w:r w:rsidRPr="009042F9">
        <w:rPr>
          <w:sz w:val="22"/>
          <w:szCs w:val="22"/>
        </w:rPr>
        <w:t xml:space="preserve">tawionych pod wyciągami </w:t>
      </w:r>
      <w:r w:rsidR="00A2003E" w:rsidRPr="009042F9">
        <w:rPr>
          <w:sz w:val="22"/>
          <w:szCs w:val="22"/>
        </w:rPr>
        <w:t>l</w:t>
      </w:r>
      <w:r w:rsidRPr="009042F9">
        <w:rPr>
          <w:sz w:val="22"/>
          <w:szCs w:val="22"/>
        </w:rPr>
        <w:t>ub zebrać do kuwet;</w:t>
      </w:r>
    </w:p>
    <w:p w:rsidR="00AB6B13" w:rsidRPr="009042F9" w:rsidRDefault="00AB6B13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-dopilnować, aby szkło laboratoryjne oraz inny sprzęt wróciło do pierwotnego miejsca;</w:t>
      </w:r>
    </w:p>
    <w:p w:rsidR="00AB6B13" w:rsidRPr="009042F9" w:rsidRDefault="00AB6B13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wytrzeć blaty pod digestoriami;</w:t>
      </w:r>
    </w:p>
    <w:p w:rsidR="00C8731B" w:rsidRPr="009042F9" w:rsidRDefault="00C8731B" w:rsidP="00C8731B">
      <w:pPr>
        <w:jc w:val="both"/>
        <w:rPr>
          <w:sz w:val="22"/>
          <w:szCs w:val="22"/>
        </w:rPr>
      </w:pPr>
    </w:p>
    <w:p w:rsidR="00AB6B13" w:rsidRPr="009042F9" w:rsidRDefault="00AB6B13" w:rsidP="00C8731B">
      <w:pPr>
        <w:jc w:val="both"/>
        <w:rPr>
          <w:b/>
          <w:sz w:val="22"/>
          <w:szCs w:val="22"/>
        </w:rPr>
      </w:pPr>
      <w:r w:rsidRPr="009042F9">
        <w:rPr>
          <w:b/>
          <w:sz w:val="22"/>
          <w:szCs w:val="22"/>
        </w:rPr>
        <w:t xml:space="preserve">III. OBSZAR BLATÓW Z URZĄDZENIAMI POMIAROWYMI (WAGI, </w:t>
      </w:r>
      <w:r w:rsidR="00A2003E" w:rsidRPr="009042F9">
        <w:rPr>
          <w:b/>
          <w:sz w:val="22"/>
          <w:szCs w:val="22"/>
        </w:rPr>
        <w:t>SPEKTROFOTOMETRY</w:t>
      </w:r>
      <w:r w:rsidRPr="009042F9">
        <w:rPr>
          <w:b/>
          <w:sz w:val="22"/>
          <w:szCs w:val="22"/>
        </w:rPr>
        <w:t>):</w:t>
      </w:r>
    </w:p>
    <w:p w:rsidR="00AB6B13" w:rsidRPr="009042F9" w:rsidRDefault="00A2003E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 uporządkować</w:t>
      </w:r>
      <w:r w:rsidR="00AB6B13" w:rsidRPr="009042F9">
        <w:rPr>
          <w:sz w:val="22"/>
          <w:szCs w:val="22"/>
        </w:rPr>
        <w:t xml:space="preserve"> i wytrzeć blaty;</w:t>
      </w:r>
    </w:p>
    <w:p w:rsidR="00AB6B13" w:rsidRPr="009042F9" w:rsidRDefault="00AB6B13" w:rsidP="00C8731B">
      <w:pPr>
        <w:jc w:val="both"/>
        <w:rPr>
          <w:sz w:val="22"/>
          <w:szCs w:val="22"/>
        </w:rPr>
      </w:pPr>
      <w:r w:rsidRPr="009042F9">
        <w:rPr>
          <w:sz w:val="22"/>
          <w:szCs w:val="22"/>
        </w:rPr>
        <w:t>-po pracy na spektrofotometrze przepłukać kuwety i zlać resztki do opisanych butelek, a</w:t>
      </w:r>
      <w:r w:rsidR="00A2003E" w:rsidRPr="009042F9">
        <w:rPr>
          <w:sz w:val="22"/>
          <w:szCs w:val="22"/>
        </w:rPr>
        <w:t xml:space="preserve"> następnie przelać ich zawartość</w:t>
      </w:r>
      <w:r w:rsidRPr="009042F9">
        <w:rPr>
          <w:sz w:val="22"/>
          <w:szCs w:val="22"/>
        </w:rPr>
        <w:t xml:space="preserve"> do odpowiednich butli pod wyciągiem</w:t>
      </w:r>
      <w:r w:rsidR="00A2003E" w:rsidRPr="009042F9">
        <w:rPr>
          <w:sz w:val="22"/>
          <w:szCs w:val="22"/>
        </w:rPr>
        <w:t xml:space="preserve"> </w:t>
      </w:r>
      <w:r w:rsidRPr="009042F9">
        <w:rPr>
          <w:sz w:val="22"/>
          <w:szCs w:val="22"/>
        </w:rPr>
        <w:t>(konsultacja z pracownikiem inżynieryjno-technicznym).</w:t>
      </w:r>
    </w:p>
    <w:sectPr w:rsidR="00AB6B13" w:rsidRPr="009042F9" w:rsidSect="00D507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2BD"/>
    <w:multiLevelType w:val="hybridMultilevel"/>
    <w:tmpl w:val="3E9C52BA"/>
    <w:lvl w:ilvl="0" w:tplc="7C16B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06A5"/>
    <w:multiLevelType w:val="hybridMultilevel"/>
    <w:tmpl w:val="6266421C"/>
    <w:lvl w:ilvl="0" w:tplc="85BAA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37C5"/>
    <w:multiLevelType w:val="multilevel"/>
    <w:tmpl w:val="5FACD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7A182E"/>
    <w:multiLevelType w:val="multilevel"/>
    <w:tmpl w:val="C8C47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605B"/>
    <w:multiLevelType w:val="multilevel"/>
    <w:tmpl w:val="E97600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F91"/>
    <w:rsid w:val="00012885"/>
    <w:rsid w:val="00054D7D"/>
    <w:rsid w:val="00083B9F"/>
    <w:rsid w:val="00117457"/>
    <w:rsid w:val="00145267"/>
    <w:rsid w:val="00163262"/>
    <w:rsid w:val="00186110"/>
    <w:rsid w:val="002B2424"/>
    <w:rsid w:val="003177AC"/>
    <w:rsid w:val="004B47F4"/>
    <w:rsid w:val="004C6C12"/>
    <w:rsid w:val="004E29BE"/>
    <w:rsid w:val="005077FA"/>
    <w:rsid w:val="00520F28"/>
    <w:rsid w:val="00537437"/>
    <w:rsid w:val="00544825"/>
    <w:rsid w:val="005A6F91"/>
    <w:rsid w:val="005B7864"/>
    <w:rsid w:val="00601CF6"/>
    <w:rsid w:val="006254FC"/>
    <w:rsid w:val="006645EF"/>
    <w:rsid w:val="006D7084"/>
    <w:rsid w:val="00725A8F"/>
    <w:rsid w:val="00736F8C"/>
    <w:rsid w:val="0075650D"/>
    <w:rsid w:val="0076059E"/>
    <w:rsid w:val="007A3B38"/>
    <w:rsid w:val="007D73BF"/>
    <w:rsid w:val="0081144B"/>
    <w:rsid w:val="00820214"/>
    <w:rsid w:val="00852303"/>
    <w:rsid w:val="008A2D5A"/>
    <w:rsid w:val="008A4AF1"/>
    <w:rsid w:val="008A6846"/>
    <w:rsid w:val="008E45BF"/>
    <w:rsid w:val="009042F9"/>
    <w:rsid w:val="009266FE"/>
    <w:rsid w:val="009731F5"/>
    <w:rsid w:val="009D2E7A"/>
    <w:rsid w:val="00A2003E"/>
    <w:rsid w:val="00A525E1"/>
    <w:rsid w:val="00AA1C4A"/>
    <w:rsid w:val="00AB6B13"/>
    <w:rsid w:val="00AD6B20"/>
    <w:rsid w:val="00B56231"/>
    <w:rsid w:val="00B80AD9"/>
    <w:rsid w:val="00C23796"/>
    <w:rsid w:val="00C8731B"/>
    <w:rsid w:val="00CE46E0"/>
    <w:rsid w:val="00D50770"/>
    <w:rsid w:val="00ED258F"/>
    <w:rsid w:val="00EE176D"/>
    <w:rsid w:val="00F63E2C"/>
    <w:rsid w:val="00F85B9D"/>
    <w:rsid w:val="00F974D0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E7E6"/>
  <w15:docId w15:val="{4426C9BB-B7CF-4607-B933-4AF0491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F9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F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A6F9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A6F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6F91"/>
    <w:pPr>
      <w:spacing w:line="360" w:lineRule="auto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6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14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Maria</cp:lastModifiedBy>
  <cp:revision>40</cp:revision>
  <cp:lastPrinted>2018-09-26T10:56:00Z</cp:lastPrinted>
  <dcterms:created xsi:type="dcterms:W3CDTF">2013-09-26T10:38:00Z</dcterms:created>
  <dcterms:modified xsi:type="dcterms:W3CDTF">2019-08-23T10:53:00Z</dcterms:modified>
</cp:coreProperties>
</file>